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9E44B3" w14:textId="77777777" w:rsidR="00EC37F9" w:rsidRDefault="001A1F51">
      <w:pPr>
        <w:pStyle w:val="Heading1"/>
      </w:pPr>
      <w:bookmarkStart w:id="0" w:name="_heading=h.gjdgxs" w:colFirst="0" w:colLast="0"/>
      <w:bookmarkEnd w:id="0"/>
      <w:r>
        <w:rPr>
          <w:noProof/>
        </w:rPr>
        <mc:AlternateContent>
          <mc:Choice Requires="wps">
            <w:drawing>
              <wp:anchor distT="0" distB="0" distL="0" distR="0" simplePos="0" relativeHeight="251658240" behindDoc="1" locked="0" layoutInCell="1" hidden="0" allowOverlap="1" wp14:anchorId="078B1B0B" wp14:editId="7E993894">
                <wp:simplePos x="0" y="0"/>
                <wp:positionH relativeFrom="column">
                  <wp:posOffset>-990599</wp:posOffset>
                </wp:positionH>
                <wp:positionV relativeFrom="paragraph">
                  <wp:posOffset>-419099</wp:posOffset>
                </wp:positionV>
                <wp:extent cx="7644765" cy="9358476"/>
                <wp:effectExtent l="0" t="0" r="0" b="0"/>
                <wp:wrapNone/>
                <wp:docPr id="6" name="Rectangle 6"/>
                <wp:cNvGraphicFramePr/>
                <a:graphic xmlns:a="http://schemas.openxmlformats.org/drawingml/2006/main">
                  <a:graphicData uri="http://schemas.microsoft.com/office/word/2010/wordprocessingShape">
                    <wps:wsp>
                      <wps:cNvSpPr/>
                      <wps:spPr>
                        <a:xfrm>
                          <a:off x="1528380" y="0"/>
                          <a:ext cx="7635240" cy="7560000"/>
                        </a:xfrm>
                        <a:prstGeom prst="rect">
                          <a:avLst/>
                        </a:prstGeom>
                        <a:solidFill>
                          <a:schemeClr val="lt2"/>
                        </a:solidFill>
                        <a:ln>
                          <a:noFill/>
                        </a:ln>
                      </wps:spPr>
                      <wps:txbx>
                        <w:txbxContent>
                          <w:p w14:paraId="401F918F" w14:textId="77777777" w:rsidR="00EC37F9" w:rsidRDefault="00EC37F9">
                            <w:pPr>
                              <w:jc w:val="center"/>
                              <w:textDirection w:val="btLr"/>
                            </w:pPr>
                          </w:p>
                          <w:p w14:paraId="161FF4F1" w14:textId="77777777" w:rsidR="00EC37F9" w:rsidRDefault="00EC37F9">
                            <w:pPr>
                              <w:jc w:val="center"/>
                              <w:textDirection w:val="btLr"/>
                            </w:pPr>
                          </w:p>
                          <w:p w14:paraId="63047ACB" w14:textId="77777777" w:rsidR="00EC37F9" w:rsidRDefault="00EC37F9">
                            <w:pPr>
                              <w:jc w:val="center"/>
                              <w:textDirection w:val="btLr"/>
                            </w:pPr>
                          </w:p>
                          <w:p w14:paraId="3DE7B542" w14:textId="77777777" w:rsidR="00EC37F9" w:rsidRDefault="00EC37F9">
                            <w:pPr>
                              <w:jc w:val="center"/>
                              <w:textDirection w:val="btLr"/>
                            </w:pPr>
                          </w:p>
                          <w:p w14:paraId="7D2173F3" w14:textId="77777777" w:rsidR="00EC37F9" w:rsidRDefault="00EC37F9">
                            <w:pPr>
                              <w:jc w:val="center"/>
                              <w:textDirection w:val="btLr"/>
                            </w:pPr>
                          </w:p>
                          <w:p w14:paraId="076A1C5B" w14:textId="77777777" w:rsidR="00EC37F9" w:rsidRDefault="00EC37F9">
                            <w:pPr>
                              <w:jc w:val="center"/>
                              <w:textDirection w:val="btLr"/>
                            </w:pPr>
                          </w:p>
                          <w:p w14:paraId="0CCE71E7" w14:textId="77777777" w:rsidR="00EC37F9" w:rsidRDefault="00EC37F9">
                            <w:pPr>
                              <w:jc w:val="center"/>
                              <w:textDirection w:val="btLr"/>
                            </w:pPr>
                          </w:p>
                          <w:p w14:paraId="66F47026" w14:textId="77777777" w:rsidR="00EC37F9" w:rsidRDefault="00EC37F9">
                            <w:pPr>
                              <w:jc w:val="center"/>
                              <w:textDirection w:val="btLr"/>
                            </w:pPr>
                          </w:p>
                          <w:p w14:paraId="4A7F5BB6" w14:textId="77777777" w:rsidR="00EC37F9" w:rsidRDefault="00EC37F9">
                            <w:pPr>
                              <w:textDirection w:val="btLr"/>
                            </w:pPr>
                          </w:p>
                          <w:p w14:paraId="12EE4344" w14:textId="25DBB3F2" w:rsidR="00EC37F9" w:rsidRDefault="00EC37F9">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078B1B0B" id="Rectangle 6" o:spid="_x0000_s1026" style="position:absolute;margin-left:-78pt;margin-top:-33pt;width:601.95pt;height:736.9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" fillcolor="#e7e6e6 [3203]" stroked="f">
                <v:textbox inset="2.53958mm,1.2694mm,2.53958mm,1.2694mm">
                  <w:txbxContent>
                    <w:p w14:paraId="401F918F" w14:textId="77777777" w:rsidR="00EC37F9" w:rsidRDefault="00EC37F9">
                      <w:pPr>
                        <w:jc w:val="center"/>
                        <w:textDirection w:val="btLr"/>
                      </w:pPr>
                    </w:p>
                    <w:p w14:paraId="161FF4F1" w14:textId="77777777" w:rsidR="00EC37F9" w:rsidRDefault="00EC37F9">
                      <w:pPr>
                        <w:jc w:val="center"/>
                        <w:textDirection w:val="btLr"/>
                      </w:pPr>
                    </w:p>
                    <w:p w14:paraId="63047ACB" w14:textId="77777777" w:rsidR="00EC37F9" w:rsidRDefault="00EC37F9">
                      <w:pPr>
                        <w:jc w:val="center"/>
                        <w:textDirection w:val="btLr"/>
                      </w:pPr>
                    </w:p>
                    <w:p w14:paraId="3DE7B542" w14:textId="77777777" w:rsidR="00EC37F9" w:rsidRDefault="00EC37F9">
                      <w:pPr>
                        <w:jc w:val="center"/>
                        <w:textDirection w:val="btLr"/>
                      </w:pPr>
                    </w:p>
                    <w:p w14:paraId="7D2173F3" w14:textId="77777777" w:rsidR="00EC37F9" w:rsidRDefault="00EC37F9">
                      <w:pPr>
                        <w:jc w:val="center"/>
                        <w:textDirection w:val="btLr"/>
                      </w:pPr>
                    </w:p>
                    <w:p w14:paraId="076A1C5B" w14:textId="77777777" w:rsidR="00EC37F9" w:rsidRDefault="00EC37F9">
                      <w:pPr>
                        <w:jc w:val="center"/>
                        <w:textDirection w:val="btLr"/>
                      </w:pPr>
                    </w:p>
                    <w:p w14:paraId="0CCE71E7" w14:textId="77777777" w:rsidR="00EC37F9" w:rsidRDefault="00EC37F9">
                      <w:pPr>
                        <w:jc w:val="center"/>
                        <w:textDirection w:val="btLr"/>
                      </w:pPr>
                    </w:p>
                    <w:p w14:paraId="66F47026" w14:textId="77777777" w:rsidR="00EC37F9" w:rsidRDefault="00EC37F9">
                      <w:pPr>
                        <w:jc w:val="center"/>
                        <w:textDirection w:val="btLr"/>
                      </w:pPr>
                    </w:p>
                    <w:p w14:paraId="4A7F5BB6" w14:textId="77777777" w:rsidR="00EC37F9" w:rsidRDefault="00EC37F9">
                      <w:pPr>
                        <w:textDirection w:val="btLr"/>
                      </w:pPr>
                    </w:p>
                    <w:p w14:paraId="12EE4344" w14:textId="25DBB3F2" w:rsidR="00EC37F9" w:rsidRDefault="00EC37F9">
                      <w:pPr>
                        <w:jc w:val="center"/>
                        <w:textDirection w:val="btLr"/>
                      </w:pPr>
                    </w:p>
                  </w:txbxContent>
                </v:textbox>
              </v:rect>
            </w:pict>
          </mc:Fallback>
        </mc:AlternateContent>
      </w:r>
    </w:p>
    <w:p w14:paraId="4FBE3B8D" w14:textId="77777777" w:rsidR="00EC37F9" w:rsidRDefault="00EC37F9">
      <w:pPr>
        <w:pStyle w:val="Heading1"/>
      </w:pPr>
    </w:p>
    <w:p w14:paraId="4FFF76B9" w14:textId="77777777" w:rsidR="00EC37F9" w:rsidRDefault="00EC37F9">
      <w:pPr>
        <w:pStyle w:val="Heading1"/>
      </w:pPr>
      <w:bookmarkStart w:id="1" w:name="_heading=h.30j0zll" w:colFirst="0" w:colLast="0"/>
      <w:bookmarkEnd w:id="1"/>
    </w:p>
    <w:p w14:paraId="737660D0" w14:textId="77777777" w:rsidR="00B622AD" w:rsidRDefault="008F70CF">
      <w:pPr>
        <w:keepNext/>
        <w:keepLines/>
        <w:pBdr>
          <w:top w:val="nil"/>
          <w:left w:val="nil"/>
          <w:bottom w:val="nil"/>
          <w:right w:val="nil"/>
          <w:between w:val="nil"/>
        </w:pBdr>
        <w:spacing w:before="240" w:line="264" w:lineRule="auto"/>
        <w:rPr>
          <w:b/>
          <w:color w:val="005EB8"/>
          <w:sz w:val="96"/>
          <w:szCs w:val="96"/>
        </w:rPr>
      </w:pPr>
      <w:r>
        <w:rPr>
          <w:b/>
          <w:color w:val="005EB8"/>
          <w:sz w:val="96"/>
          <w:szCs w:val="96"/>
        </w:rPr>
        <w:t>Public Advisory Group (PAG)</w:t>
      </w:r>
    </w:p>
    <w:p w14:paraId="167A83A2" w14:textId="7F86F88F" w:rsidR="00EC37F9" w:rsidRDefault="00B622AD">
      <w:pPr>
        <w:keepNext/>
        <w:keepLines/>
        <w:pBdr>
          <w:top w:val="nil"/>
          <w:left w:val="nil"/>
          <w:bottom w:val="nil"/>
          <w:right w:val="nil"/>
          <w:between w:val="nil"/>
        </w:pBdr>
        <w:spacing w:before="240" w:line="264" w:lineRule="auto"/>
        <w:rPr>
          <w:b/>
          <w:color w:val="005EB8"/>
          <w:sz w:val="96"/>
          <w:szCs w:val="96"/>
        </w:rPr>
      </w:pPr>
      <w:r>
        <w:rPr>
          <w:b/>
          <w:color w:val="005EB8"/>
          <w:sz w:val="96"/>
          <w:szCs w:val="96"/>
        </w:rPr>
        <w:t>Service Design session</w:t>
      </w:r>
      <w:r w:rsidR="008F70CF">
        <w:rPr>
          <w:b/>
          <w:color w:val="005EB8"/>
          <w:sz w:val="96"/>
          <w:szCs w:val="96"/>
        </w:rPr>
        <w:t xml:space="preserve"> </w:t>
      </w:r>
    </w:p>
    <w:p w14:paraId="6A2F9513" w14:textId="77777777" w:rsidR="00B622AD" w:rsidRDefault="00B622AD">
      <w:pPr>
        <w:pStyle w:val="Heading1"/>
        <w:rPr>
          <w:color w:val="000000"/>
        </w:rPr>
      </w:pPr>
      <w:bookmarkStart w:id="2" w:name="_heading=h.1fob9te" w:colFirst="0" w:colLast="0"/>
      <w:bookmarkEnd w:id="2"/>
    </w:p>
    <w:p w14:paraId="75188AF5" w14:textId="78931DDB" w:rsidR="00EC37F9" w:rsidRDefault="000915D6">
      <w:pPr>
        <w:pStyle w:val="Heading1"/>
      </w:pPr>
      <w:r>
        <w:rPr>
          <w:color w:val="000000"/>
        </w:rPr>
        <w:t>May</w:t>
      </w:r>
      <w:r w:rsidR="00363372">
        <w:rPr>
          <w:color w:val="000000"/>
        </w:rPr>
        <w:t xml:space="preserve"> </w:t>
      </w:r>
      <w:r w:rsidR="008F70CF">
        <w:rPr>
          <w:color w:val="000000"/>
        </w:rPr>
        <w:t>2026</w:t>
      </w:r>
      <w:r w:rsidR="001A1F51">
        <w:br w:type="page"/>
      </w:r>
    </w:p>
    <w:p w14:paraId="0B3AA7CE" w14:textId="35A843B5" w:rsidR="00EC37F9" w:rsidRDefault="008F70CF" w:rsidP="008F70CF">
      <w:pPr>
        <w:keepNext/>
        <w:keepLines/>
        <w:pBdr>
          <w:top w:val="nil"/>
          <w:left w:val="nil"/>
          <w:bottom w:val="nil"/>
          <w:right w:val="nil"/>
          <w:between w:val="nil"/>
        </w:pBdr>
        <w:spacing w:before="240" w:line="264" w:lineRule="auto"/>
        <w:rPr>
          <w:b/>
          <w:color w:val="005EB8"/>
          <w:sz w:val="52"/>
          <w:szCs w:val="52"/>
        </w:rPr>
      </w:pPr>
      <w:r>
        <w:rPr>
          <w:b/>
          <w:color w:val="005EB8"/>
          <w:sz w:val="52"/>
          <w:szCs w:val="52"/>
        </w:rPr>
        <w:lastRenderedPageBreak/>
        <w:t>Introduction</w:t>
      </w:r>
    </w:p>
    <w:p w14:paraId="10588DBD" w14:textId="6BB24A54" w:rsidR="008F70CF" w:rsidRDefault="008F70CF" w:rsidP="008F70CF">
      <w:pPr>
        <w:keepNext/>
        <w:keepLines/>
        <w:pBdr>
          <w:top w:val="nil"/>
          <w:left w:val="nil"/>
          <w:bottom w:val="nil"/>
          <w:right w:val="nil"/>
          <w:between w:val="nil"/>
        </w:pBdr>
        <w:spacing w:before="240" w:line="264" w:lineRule="auto"/>
        <w:rPr>
          <w:bCs/>
        </w:rPr>
      </w:pPr>
      <w:r>
        <w:rPr>
          <w:bCs/>
        </w:rPr>
        <w:t xml:space="preserve">In April, partners </w:t>
      </w:r>
      <w:r w:rsidR="00D94DBE">
        <w:rPr>
          <w:bCs/>
        </w:rPr>
        <w:t xml:space="preserve">from across the region and the Yorkshire &amp; Humber Secure Data Environment (SDE) programme team, </w:t>
      </w:r>
      <w:r>
        <w:rPr>
          <w:bCs/>
        </w:rPr>
        <w:t>came together to:</w:t>
      </w:r>
    </w:p>
    <w:p w14:paraId="1B940F33" w14:textId="2427A57E" w:rsidR="008F70CF" w:rsidRPr="00055071" w:rsidRDefault="008F70CF" w:rsidP="00055071">
      <w:pPr>
        <w:pStyle w:val="ListParagraph"/>
        <w:keepNext/>
        <w:keepLines/>
        <w:numPr>
          <w:ilvl w:val="0"/>
          <w:numId w:val="3"/>
        </w:numPr>
        <w:pBdr>
          <w:top w:val="nil"/>
          <w:left w:val="nil"/>
          <w:bottom w:val="nil"/>
          <w:right w:val="nil"/>
          <w:between w:val="nil"/>
        </w:pBdr>
        <w:spacing w:before="240"/>
        <w:rPr>
          <w:bCs/>
        </w:rPr>
      </w:pPr>
      <w:r w:rsidRPr="00055071">
        <w:rPr>
          <w:bCs/>
        </w:rPr>
        <w:t xml:space="preserve">Define a shared vision for the Y&amp;H SDE service </w:t>
      </w:r>
    </w:p>
    <w:p w14:paraId="6A512364" w14:textId="7D68F558" w:rsidR="008F70CF" w:rsidRPr="00055071" w:rsidRDefault="008F70CF" w:rsidP="00055071">
      <w:pPr>
        <w:pStyle w:val="ListParagraph"/>
        <w:keepNext/>
        <w:keepLines/>
        <w:numPr>
          <w:ilvl w:val="0"/>
          <w:numId w:val="3"/>
        </w:numPr>
        <w:pBdr>
          <w:top w:val="nil"/>
          <w:left w:val="nil"/>
          <w:bottom w:val="nil"/>
          <w:right w:val="nil"/>
          <w:between w:val="nil"/>
        </w:pBdr>
        <w:spacing w:before="240"/>
        <w:rPr>
          <w:bCs/>
        </w:rPr>
      </w:pPr>
      <w:r w:rsidRPr="00055071">
        <w:rPr>
          <w:bCs/>
        </w:rPr>
        <w:t xml:space="preserve">Identify what it will take to build and run the service at scale </w:t>
      </w:r>
    </w:p>
    <w:p w14:paraId="16C96DAE" w14:textId="14EE0F15" w:rsidR="008F70CF" w:rsidRDefault="008F70CF" w:rsidP="00055071">
      <w:pPr>
        <w:pStyle w:val="ListParagraph"/>
        <w:keepNext/>
        <w:keepLines/>
        <w:numPr>
          <w:ilvl w:val="0"/>
          <w:numId w:val="3"/>
        </w:numPr>
        <w:pBdr>
          <w:top w:val="nil"/>
          <w:left w:val="nil"/>
          <w:bottom w:val="nil"/>
          <w:right w:val="nil"/>
          <w:between w:val="nil"/>
        </w:pBdr>
        <w:spacing w:before="240"/>
        <w:rPr>
          <w:bCs/>
        </w:rPr>
      </w:pPr>
      <w:r w:rsidRPr="00055071">
        <w:rPr>
          <w:bCs/>
        </w:rPr>
        <w:t>Begin shaping a single, unified regional service rather than separate local offers</w:t>
      </w:r>
      <w:r w:rsidR="00AD1474">
        <w:rPr>
          <w:bCs/>
        </w:rPr>
        <w:t>.</w:t>
      </w:r>
    </w:p>
    <w:p w14:paraId="68C184FC" w14:textId="0C0DC9C7" w:rsidR="00055071" w:rsidRDefault="00055071" w:rsidP="00055071">
      <w:pPr>
        <w:keepNext/>
        <w:keepLines/>
        <w:pBdr>
          <w:top w:val="nil"/>
          <w:left w:val="nil"/>
          <w:bottom w:val="nil"/>
          <w:right w:val="nil"/>
          <w:between w:val="nil"/>
        </w:pBdr>
        <w:spacing w:before="240"/>
        <w:rPr>
          <w:bCs/>
        </w:rPr>
      </w:pPr>
      <w:r>
        <w:rPr>
          <w:bCs/>
        </w:rPr>
        <w:t xml:space="preserve">The focus of this work was on the future, considering what </w:t>
      </w:r>
      <w:r w:rsidR="00AD1474">
        <w:rPr>
          <w:bCs/>
        </w:rPr>
        <w:t xml:space="preserve">a </w:t>
      </w:r>
      <w:r>
        <w:rPr>
          <w:bCs/>
        </w:rPr>
        <w:t>long-term sustainable service should look like and how we move towards that vision.</w:t>
      </w:r>
    </w:p>
    <w:p w14:paraId="1ED00917" w14:textId="4D6FA875" w:rsidR="00055071" w:rsidRDefault="00D94DBE" w:rsidP="00055071">
      <w:pPr>
        <w:keepNext/>
        <w:keepLines/>
        <w:pBdr>
          <w:top w:val="nil"/>
          <w:left w:val="nil"/>
          <w:bottom w:val="nil"/>
          <w:right w:val="nil"/>
          <w:between w:val="nil"/>
        </w:pBdr>
        <w:spacing w:before="240"/>
        <w:rPr>
          <w:bCs/>
        </w:rPr>
      </w:pPr>
      <w:r>
        <w:rPr>
          <w:bCs/>
        </w:rPr>
        <w:t xml:space="preserve">Following on from this, in May we brought together our Public Advisory Group (PAG) </w:t>
      </w:r>
      <w:r w:rsidR="003F6C89">
        <w:rPr>
          <w:bCs/>
        </w:rPr>
        <w:t>to review</w:t>
      </w:r>
      <w:r w:rsidR="00055071">
        <w:rPr>
          <w:bCs/>
        </w:rPr>
        <w:t xml:space="preserve"> and evaluate this direction</w:t>
      </w:r>
      <w:r>
        <w:rPr>
          <w:bCs/>
        </w:rPr>
        <w:t xml:space="preserve">. </w:t>
      </w:r>
      <w:r w:rsidR="00055071">
        <w:rPr>
          <w:bCs/>
        </w:rPr>
        <w:t>The</w:t>
      </w:r>
      <w:r>
        <w:rPr>
          <w:bCs/>
        </w:rPr>
        <w:t xml:space="preserve"> group</w:t>
      </w:r>
      <w:r w:rsidR="00055071">
        <w:rPr>
          <w:bCs/>
        </w:rPr>
        <w:t xml:space="preserve"> acted as </w:t>
      </w:r>
      <w:r w:rsidR="00055071" w:rsidRPr="006C3318">
        <w:rPr>
          <w:bCs/>
          <w:i/>
          <w:iCs/>
          <w:color w:val="0070C0"/>
        </w:rPr>
        <w:t>“critical friends,”</w:t>
      </w:r>
      <w:r w:rsidR="00055071" w:rsidRPr="006C3318">
        <w:rPr>
          <w:bCs/>
          <w:color w:val="0070C0"/>
        </w:rPr>
        <w:t xml:space="preserve"> </w:t>
      </w:r>
      <w:r w:rsidR="00055071">
        <w:rPr>
          <w:bCs/>
        </w:rPr>
        <w:t xml:space="preserve">helping to ensure that the developing </w:t>
      </w:r>
      <w:r>
        <w:rPr>
          <w:bCs/>
        </w:rPr>
        <w:t xml:space="preserve">SDE </w:t>
      </w:r>
      <w:r w:rsidR="00055071">
        <w:rPr>
          <w:bCs/>
        </w:rPr>
        <w:t>service reflects public expectations, priorities and values.</w:t>
      </w:r>
    </w:p>
    <w:p w14:paraId="454C8821" w14:textId="5D65FC23" w:rsidR="00055071" w:rsidRDefault="00055071" w:rsidP="00055071">
      <w:pPr>
        <w:keepNext/>
        <w:keepLines/>
        <w:pBdr>
          <w:top w:val="nil"/>
          <w:left w:val="nil"/>
          <w:bottom w:val="nil"/>
          <w:right w:val="nil"/>
          <w:between w:val="nil"/>
        </w:pBdr>
        <w:spacing w:before="240"/>
        <w:rPr>
          <w:bCs/>
        </w:rPr>
      </w:pPr>
      <w:r>
        <w:rPr>
          <w:bCs/>
        </w:rPr>
        <w:t>Overall, members of the PAG reflected positively on the session, highlighting both the depth of work undertaken and the increasing clarity around how the SDE will function in practice.</w:t>
      </w:r>
    </w:p>
    <w:p w14:paraId="025A6425" w14:textId="5EA240FA" w:rsidR="00565A0D" w:rsidRDefault="00585637" w:rsidP="00055071">
      <w:pPr>
        <w:keepNext/>
        <w:keepLines/>
        <w:pBdr>
          <w:top w:val="nil"/>
          <w:left w:val="nil"/>
          <w:bottom w:val="nil"/>
          <w:right w:val="nil"/>
          <w:between w:val="nil"/>
        </w:pBdr>
        <w:spacing w:before="240"/>
        <w:rPr>
          <w:bCs/>
        </w:rPr>
      </w:pPr>
      <w:r>
        <w:rPr>
          <w:bCs/>
        </w:rPr>
        <w:t>This report details the feedback received, outlines some of the themes and forms a conclusion from the day.</w:t>
      </w:r>
    </w:p>
    <w:p w14:paraId="484ECE83" w14:textId="77777777" w:rsidR="00FB5503" w:rsidRDefault="00FB5503" w:rsidP="00565A0D">
      <w:pPr>
        <w:keepNext/>
        <w:keepLines/>
        <w:pBdr>
          <w:top w:val="nil"/>
          <w:left w:val="nil"/>
          <w:bottom w:val="nil"/>
          <w:right w:val="nil"/>
          <w:between w:val="nil"/>
        </w:pBdr>
        <w:spacing w:before="240" w:line="264" w:lineRule="auto"/>
        <w:rPr>
          <w:b/>
          <w:color w:val="005EB8"/>
          <w:sz w:val="52"/>
          <w:szCs w:val="52"/>
        </w:rPr>
      </w:pPr>
    </w:p>
    <w:p w14:paraId="2F80D39A" w14:textId="0BC2555B" w:rsidR="00565A0D" w:rsidRDefault="00585637" w:rsidP="00565A0D">
      <w:pPr>
        <w:keepNext/>
        <w:keepLines/>
        <w:pBdr>
          <w:top w:val="nil"/>
          <w:left w:val="nil"/>
          <w:bottom w:val="nil"/>
          <w:right w:val="nil"/>
          <w:between w:val="nil"/>
        </w:pBdr>
        <w:spacing w:before="240" w:line="264" w:lineRule="auto"/>
        <w:rPr>
          <w:b/>
          <w:color w:val="005EB8"/>
          <w:sz w:val="52"/>
          <w:szCs w:val="52"/>
        </w:rPr>
      </w:pPr>
      <w:r>
        <w:rPr>
          <w:b/>
          <w:color w:val="005EB8"/>
          <w:sz w:val="52"/>
          <w:szCs w:val="52"/>
        </w:rPr>
        <w:t>Feedback</w:t>
      </w:r>
    </w:p>
    <w:p w14:paraId="29009AFD" w14:textId="39513271" w:rsidR="00FB5503" w:rsidRDefault="00565A0D" w:rsidP="00572686">
      <w:pPr>
        <w:rPr>
          <w:i/>
          <w:iCs/>
          <w:color w:val="0070C0"/>
        </w:rPr>
      </w:pPr>
      <w:r>
        <w:rPr>
          <w:bCs/>
        </w:rPr>
        <w:t xml:space="preserve">Many </w:t>
      </w:r>
      <w:r w:rsidR="00585637">
        <w:rPr>
          <w:bCs/>
        </w:rPr>
        <w:t xml:space="preserve">PAG </w:t>
      </w:r>
      <w:r>
        <w:rPr>
          <w:bCs/>
        </w:rPr>
        <w:t xml:space="preserve">members noted that the session helped make the SDE </w:t>
      </w:r>
      <w:r w:rsidRPr="00AB6EE4">
        <w:rPr>
          <w:bCs/>
          <w:i/>
          <w:iCs/>
        </w:rPr>
        <w:t>“feel more tangible and real”</w:t>
      </w:r>
      <w:r w:rsidR="00585637">
        <w:rPr>
          <w:bCs/>
          <w:i/>
          <w:iCs/>
        </w:rPr>
        <w:t>,</w:t>
      </w:r>
      <w:r>
        <w:rPr>
          <w:bCs/>
        </w:rPr>
        <w:t xml:space="preserve"> moving beyond a conceptual model to something more concrete and understandable.</w:t>
      </w:r>
      <w:r w:rsidR="00AB6EE4">
        <w:rPr>
          <w:bCs/>
        </w:rPr>
        <w:t xml:space="preserve"> The opportunity to explore approaches to developing the Secure Data Environment (SDE) as a service, alongside considerations of brand positioning, user profiles, was seen as both reassuring and encouraging</w:t>
      </w:r>
      <w:r w:rsidR="00572686">
        <w:rPr>
          <w:bCs/>
        </w:rPr>
        <w:t xml:space="preserve">, with one PAG member stating, </w:t>
      </w:r>
      <w:r w:rsidR="00572686" w:rsidRPr="006C3318">
        <w:rPr>
          <w:bCs/>
          <w:i/>
          <w:iCs/>
          <w:color w:val="0070C0"/>
        </w:rPr>
        <w:t>“</w:t>
      </w:r>
      <w:r w:rsidR="00572686" w:rsidRPr="006C3318">
        <w:rPr>
          <w:i/>
          <w:iCs/>
          <w:color w:val="0070C0"/>
        </w:rPr>
        <w:t>It makes the SDE more tangible and easier to consider the practical questions, concerns and reassurance which the public would seek.”</w:t>
      </w:r>
    </w:p>
    <w:p w14:paraId="4BF1920C" w14:textId="7B08DD3B" w:rsidR="006C3318" w:rsidRDefault="006C3318" w:rsidP="00572686">
      <w:r>
        <w:t xml:space="preserve">PAG members </w:t>
      </w:r>
      <w:r w:rsidR="00585637">
        <w:t xml:space="preserve">also </w:t>
      </w:r>
      <w:r>
        <w:t xml:space="preserve">welcomed the opportunity to act as critical friends, contributing to shaping the service design and long-term vision. One PAG member stated, </w:t>
      </w:r>
      <w:r w:rsidRPr="006C3318">
        <w:rPr>
          <w:i/>
          <w:iCs/>
          <w:color w:val="0070C0"/>
        </w:rPr>
        <w:t xml:space="preserve">“It was particularly valuable to come together in person with a diverse group of individuals </w:t>
      </w:r>
      <w:r w:rsidRPr="006C3318">
        <w:rPr>
          <w:i/>
          <w:iCs/>
          <w:color w:val="0070C0"/>
        </w:rPr>
        <w:lastRenderedPageBreak/>
        <w:t>who each brought different professional, personal and community perspectives to the discussion, ensuring that a broad range of voices informed decision-making. It is often rare to be in spaces where lived experiences and co-production are at the centre of decision-making processes.”</w:t>
      </w:r>
      <w:r>
        <w:rPr>
          <w:i/>
          <w:iCs/>
          <w:color w:val="0070C0"/>
        </w:rPr>
        <w:t xml:space="preserve"> </w:t>
      </w:r>
      <w:r>
        <w:t xml:space="preserve">Several reflections emphasised this point on how rare and important it is to be part of a space where community voice, lived experience and diverse perspectives are genuinely central to decision-making. </w:t>
      </w:r>
    </w:p>
    <w:p w14:paraId="16C0C054" w14:textId="39CC0B90" w:rsidR="00F92F70" w:rsidRPr="00F92F70" w:rsidRDefault="00F92F70" w:rsidP="00F92F70">
      <w:pPr>
        <w:rPr>
          <w:i/>
          <w:iCs/>
          <w:color w:val="0070C0"/>
        </w:rPr>
      </w:pPr>
      <w:r>
        <w:t xml:space="preserve">There was also strong appreciation for </w:t>
      </w:r>
      <w:r w:rsidR="00A16726">
        <w:t>holding</w:t>
      </w:r>
      <w:r>
        <w:t xml:space="preserve"> the session and for the efforts of the wider Y&amp;H SDE team in creating an inclusive and engaging environment. The day was described as </w:t>
      </w:r>
      <w:r w:rsidRPr="00F92F70">
        <w:rPr>
          <w:i/>
          <w:iCs/>
          <w:color w:val="0070C0"/>
        </w:rPr>
        <w:t>“productive, insightful”</w:t>
      </w:r>
      <w:r w:rsidRPr="00F92F70">
        <w:rPr>
          <w:color w:val="0070C0"/>
        </w:rPr>
        <w:t xml:space="preserve"> </w:t>
      </w:r>
      <w:r>
        <w:t xml:space="preserve">and overall worthwhile, with a shared sense that different elements of the SDE are beginning to come together more coherently. Members expressed a desire to better understand the user journey for data applicants, </w:t>
      </w:r>
      <w:r w:rsidR="00A16726">
        <w:t>saying they were</w:t>
      </w:r>
      <w:r>
        <w:t xml:space="preserve"> </w:t>
      </w:r>
      <w:r w:rsidRPr="00F92F70">
        <w:rPr>
          <w:i/>
          <w:iCs/>
          <w:color w:val="0070C0"/>
        </w:rPr>
        <w:t>“Looking forward to seeing what the actual interface for data applicants would look like and the service experience design.”</w:t>
      </w:r>
    </w:p>
    <w:p w14:paraId="58EE0AA3" w14:textId="77777777" w:rsidR="00C21AD9" w:rsidRDefault="00C21AD9" w:rsidP="00863C10">
      <w:pPr>
        <w:keepNext/>
        <w:keepLines/>
        <w:pBdr>
          <w:top w:val="nil"/>
          <w:left w:val="nil"/>
          <w:bottom w:val="nil"/>
          <w:right w:val="nil"/>
          <w:between w:val="nil"/>
        </w:pBdr>
        <w:spacing w:before="240" w:line="264" w:lineRule="auto"/>
        <w:rPr>
          <w:color w:val="0070C0"/>
        </w:rPr>
      </w:pPr>
    </w:p>
    <w:p w14:paraId="12D73EA8" w14:textId="3F1AFA70" w:rsidR="00863C10" w:rsidRDefault="00863C10" w:rsidP="00863C10">
      <w:pPr>
        <w:keepNext/>
        <w:keepLines/>
        <w:pBdr>
          <w:top w:val="nil"/>
          <w:left w:val="nil"/>
          <w:bottom w:val="nil"/>
          <w:right w:val="nil"/>
          <w:between w:val="nil"/>
        </w:pBdr>
        <w:spacing w:before="240" w:line="264" w:lineRule="auto"/>
        <w:rPr>
          <w:b/>
          <w:color w:val="005EB8"/>
          <w:sz w:val="52"/>
          <w:szCs w:val="52"/>
        </w:rPr>
      </w:pPr>
      <w:r>
        <w:rPr>
          <w:b/>
          <w:color w:val="005EB8"/>
          <w:sz w:val="52"/>
          <w:szCs w:val="52"/>
        </w:rPr>
        <w:t>Key discussion themes</w:t>
      </w:r>
    </w:p>
    <w:p w14:paraId="5AC3834C" w14:textId="52D85FB7" w:rsidR="00863C10" w:rsidRDefault="00C21AD9" w:rsidP="00863C10">
      <w:pPr>
        <w:keepNext/>
        <w:keepLines/>
        <w:pBdr>
          <w:top w:val="nil"/>
          <w:left w:val="nil"/>
          <w:bottom w:val="nil"/>
          <w:right w:val="nil"/>
          <w:between w:val="nil"/>
        </w:pBdr>
        <w:spacing w:before="240" w:line="264" w:lineRule="auto"/>
        <w:rPr>
          <w:b/>
        </w:rPr>
      </w:pPr>
      <w:r w:rsidRPr="00C21AD9">
        <w:rPr>
          <w:b/>
        </w:rPr>
        <w:t xml:space="preserve">Commercial model and access </w:t>
      </w:r>
    </w:p>
    <w:p w14:paraId="11963B39" w14:textId="09FDFA47" w:rsidR="00C21AD9" w:rsidRDefault="00C21AD9" w:rsidP="00863C10">
      <w:pPr>
        <w:keepNext/>
        <w:keepLines/>
        <w:pBdr>
          <w:top w:val="nil"/>
          <w:left w:val="nil"/>
          <w:bottom w:val="nil"/>
          <w:right w:val="nil"/>
          <w:between w:val="nil"/>
        </w:pBdr>
        <w:spacing w:before="240" w:line="264" w:lineRule="auto"/>
        <w:rPr>
          <w:bCs/>
        </w:rPr>
      </w:pPr>
      <w:r>
        <w:rPr>
          <w:bCs/>
        </w:rPr>
        <w:t>PAG raised important questions about how the commercial model will operate. This included:</w:t>
      </w:r>
    </w:p>
    <w:p w14:paraId="4B03BBE4" w14:textId="63E46F53" w:rsidR="00C21AD9" w:rsidRPr="00C21AD9" w:rsidRDefault="00C21AD9" w:rsidP="00C21AD9">
      <w:pPr>
        <w:pStyle w:val="ListParagraph"/>
        <w:keepNext/>
        <w:keepLines/>
        <w:numPr>
          <w:ilvl w:val="0"/>
          <w:numId w:val="4"/>
        </w:numPr>
        <w:pBdr>
          <w:top w:val="nil"/>
          <w:left w:val="nil"/>
          <w:bottom w:val="nil"/>
          <w:right w:val="nil"/>
          <w:between w:val="nil"/>
        </w:pBdr>
        <w:spacing w:before="240"/>
        <w:rPr>
          <w:bCs/>
        </w:rPr>
      </w:pPr>
      <w:r w:rsidRPr="00C21AD9">
        <w:rPr>
          <w:bCs/>
        </w:rPr>
        <w:t>Whether organisations accessing data will pay</w:t>
      </w:r>
      <w:r w:rsidR="00A16726">
        <w:rPr>
          <w:bCs/>
        </w:rPr>
        <w:t>.</w:t>
      </w:r>
    </w:p>
    <w:p w14:paraId="544D4A9F" w14:textId="4D8F9F17" w:rsidR="00C21AD9" w:rsidRPr="00C21AD9" w:rsidRDefault="00C21AD9" w:rsidP="00C21AD9">
      <w:pPr>
        <w:pStyle w:val="ListParagraph"/>
        <w:keepNext/>
        <w:keepLines/>
        <w:numPr>
          <w:ilvl w:val="0"/>
          <w:numId w:val="4"/>
        </w:numPr>
        <w:pBdr>
          <w:top w:val="nil"/>
          <w:left w:val="nil"/>
          <w:bottom w:val="nil"/>
          <w:right w:val="nil"/>
          <w:between w:val="nil"/>
        </w:pBdr>
        <w:spacing w:before="240"/>
        <w:rPr>
          <w:bCs/>
        </w:rPr>
      </w:pPr>
      <w:r w:rsidRPr="00C21AD9">
        <w:rPr>
          <w:bCs/>
        </w:rPr>
        <w:t>Whether contributors of data will receive similar services</w:t>
      </w:r>
      <w:r w:rsidR="00A16726">
        <w:rPr>
          <w:bCs/>
        </w:rPr>
        <w:t>.</w:t>
      </w:r>
    </w:p>
    <w:p w14:paraId="07666C97" w14:textId="19D70A54" w:rsidR="00C21AD9" w:rsidRDefault="00C21AD9" w:rsidP="00C21AD9">
      <w:pPr>
        <w:pStyle w:val="ListParagraph"/>
        <w:keepNext/>
        <w:keepLines/>
        <w:numPr>
          <w:ilvl w:val="0"/>
          <w:numId w:val="4"/>
        </w:numPr>
        <w:pBdr>
          <w:top w:val="nil"/>
          <w:left w:val="nil"/>
          <w:bottom w:val="nil"/>
          <w:right w:val="nil"/>
          <w:between w:val="nil"/>
        </w:pBdr>
        <w:spacing w:before="240"/>
        <w:rPr>
          <w:bCs/>
        </w:rPr>
      </w:pPr>
      <w:r w:rsidRPr="00C21AD9">
        <w:rPr>
          <w:bCs/>
        </w:rPr>
        <w:t>How fairness will be maintained</w:t>
      </w:r>
      <w:r w:rsidR="00A16726">
        <w:rPr>
          <w:bCs/>
        </w:rPr>
        <w:t>.</w:t>
      </w:r>
    </w:p>
    <w:p w14:paraId="537967EA" w14:textId="739462BB" w:rsidR="00C21AD9" w:rsidRDefault="00C21AD9" w:rsidP="00C21AD9">
      <w:pPr>
        <w:keepNext/>
        <w:keepLines/>
        <w:pBdr>
          <w:top w:val="nil"/>
          <w:left w:val="nil"/>
          <w:bottom w:val="nil"/>
          <w:right w:val="nil"/>
          <w:between w:val="nil"/>
        </w:pBdr>
        <w:spacing w:before="240"/>
        <w:rPr>
          <w:bCs/>
        </w:rPr>
      </w:pPr>
      <w:r>
        <w:rPr>
          <w:bCs/>
        </w:rPr>
        <w:t xml:space="preserve">Concerns were expressed about the potential imbalance, such as whether organisations providing more funding may receive greater attention or influence when accessing data within the SDE. </w:t>
      </w:r>
    </w:p>
    <w:p w14:paraId="2E6D62FF" w14:textId="6E3FAE88" w:rsidR="00E17474" w:rsidRDefault="00C21AD9" w:rsidP="00572686">
      <w:r>
        <w:t>There was concern on how pricing models might differ between user groups, such as senior academics and upcoming researchers, with senior academics paying less than an upcom</w:t>
      </w:r>
      <w:r w:rsidR="00E17474">
        <w:t xml:space="preserve">ing researcher. Members were also interested in who was leading the development of the commercial model and with this emphasised the importance of public involvement in shaping the model, suggesting </w:t>
      </w:r>
      <w:r w:rsidR="00C143BF">
        <w:t xml:space="preserve">there should be </w:t>
      </w:r>
      <w:r w:rsidR="00E17474">
        <w:t xml:space="preserve">dedicated engagement sessions on this. </w:t>
      </w:r>
    </w:p>
    <w:p w14:paraId="61C3F8F6" w14:textId="738A902D" w:rsidR="00E17474" w:rsidRDefault="00E17474" w:rsidP="00572686">
      <w:pPr>
        <w:rPr>
          <w:b/>
          <w:bCs/>
        </w:rPr>
      </w:pPr>
      <w:r w:rsidRPr="00E17474">
        <w:rPr>
          <w:b/>
          <w:bCs/>
        </w:rPr>
        <w:t xml:space="preserve">Financial sustainability </w:t>
      </w:r>
      <w:r w:rsidR="00111EF3">
        <w:rPr>
          <w:b/>
          <w:bCs/>
        </w:rPr>
        <w:t xml:space="preserve">and planned direction </w:t>
      </w:r>
    </w:p>
    <w:p w14:paraId="541B8347" w14:textId="757DBB24" w:rsidR="00111EF3" w:rsidRDefault="00111EF3" w:rsidP="00572686">
      <w:r>
        <w:lastRenderedPageBreak/>
        <w:t>The importance of ensuring that the SDE is financially sustainable was strongly emphasised. Members were interested in where Y&amp;H SDE is currently positioned on its roadmap and how it plans to balance demand for data with availability.</w:t>
      </w:r>
    </w:p>
    <w:p w14:paraId="3FD96A87" w14:textId="69B3EB3D" w:rsidR="00111EF3" w:rsidRDefault="00111EF3" w:rsidP="00572686">
      <w:r>
        <w:t xml:space="preserve">There was also focus on identifying regional strengths. Members of the PAG suggested that Y&amp;H SDE should clearly define what it does well and use </w:t>
      </w:r>
      <w:r w:rsidR="00C143BF">
        <w:t>i</w:t>
      </w:r>
      <w:r>
        <w:t xml:space="preserve">t as a key ‘selling point’ to the programme. </w:t>
      </w:r>
    </w:p>
    <w:p w14:paraId="38DEB797" w14:textId="77777777" w:rsidR="00111EF3" w:rsidRDefault="00111EF3" w:rsidP="00572686"/>
    <w:p w14:paraId="588F9A4B" w14:textId="44460EBC" w:rsidR="00111EF3" w:rsidRDefault="00111EF3" w:rsidP="00572686">
      <w:pPr>
        <w:rPr>
          <w:b/>
          <w:bCs/>
        </w:rPr>
      </w:pPr>
      <w:r w:rsidRPr="00111EF3">
        <w:rPr>
          <w:b/>
          <w:bCs/>
        </w:rPr>
        <w:t xml:space="preserve">Equity, risks and safeguards </w:t>
      </w:r>
    </w:p>
    <w:p w14:paraId="528DDAE8" w14:textId="30F8F7D9" w:rsidR="00111EF3" w:rsidRPr="00111EF3" w:rsidRDefault="00111EF3" w:rsidP="00572686">
      <w:pPr>
        <w:rPr>
          <w:i/>
          <w:iCs/>
          <w:color w:val="0070C0"/>
        </w:rPr>
      </w:pPr>
      <w:r>
        <w:t>Members explored potential risks of imbalance within the system and asked what safeguards are in place to mitigate these challenges. There was also recognition that having multiple S</w:t>
      </w:r>
      <w:r w:rsidR="00C143BF">
        <w:t>D</w:t>
      </w:r>
      <w:r>
        <w:t xml:space="preserve">E platforms across England may offer benefits in terms of resilience and risk management, stating, </w:t>
      </w:r>
      <w:r w:rsidRPr="00111EF3">
        <w:rPr>
          <w:i/>
          <w:iCs/>
          <w:color w:val="0070C0"/>
        </w:rPr>
        <w:t>“it is better that there are different platforms across the country, as if one platform gets compromised then other ones won’t as it’s a separate system.”</w:t>
      </w:r>
    </w:p>
    <w:p w14:paraId="129B53DB" w14:textId="77777777" w:rsidR="00111EF3" w:rsidRDefault="00111EF3" w:rsidP="00572686">
      <w:pPr>
        <w:rPr>
          <w:b/>
          <w:bCs/>
        </w:rPr>
      </w:pPr>
    </w:p>
    <w:p w14:paraId="43BDD449" w14:textId="20D9933F" w:rsidR="007C6195" w:rsidRDefault="007C6195" w:rsidP="00572686">
      <w:pPr>
        <w:rPr>
          <w:b/>
          <w:bCs/>
        </w:rPr>
      </w:pPr>
      <w:r>
        <w:rPr>
          <w:b/>
          <w:bCs/>
        </w:rPr>
        <w:t xml:space="preserve">Public transparency and engagement </w:t>
      </w:r>
    </w:p>
    <w:p w14:paraId="59262EED" w14:textId="650D318A" w:rsidR="007C6195" w:rsidRDefault="007C6195" w:rsidP="00572686">
      <w:r>
        <w:t>Transparency and trust were key themes during this session. Members asked about what has been done to demonstrate to the public how data is being used and how Y&amp;H SDE operates. There was an interest in ensuring that information about ongoing and upcoming projects is visible and accessible</w:t>
      </w:r>
      <w:r w:rsidR="005B0583">
        <w:t xml:space="preserve">, particularly via the Y&amp;H SDE website. </w:t>
      </w:r>
    </w:p>
    <w:p w14:paraId="15FAEEB9" w14:textId="406004C7" w:rsidR="005B0583" w:rsidRDefault="005B0583" w:rsidP="00572686">
      <w:r>
        <w:t xml:space="preserve">The importance of clear user journeys was also highlighted, to ensure people understand how data is accessed, used and translated into outputs. </w:t>
      </w:r>
    </w:p>
    <w:p w14:paraId="388B945F" w14:textId="11EDED80" w:rsidR="005B0583" w:rsidRDefault="005B0583" w:rsidP="00572686">
      <w:r>
        <w:t xml:space="preserve">Members additionally raised questions about whether individuals can opt-out of specific aspects of data use. </w:t>
      </w:r>
    </w:p>
    <w:p w14:paraId="46B3C101" w14:textId="77777777" w:rsidR="005B0583" w:rsidRDefault="005B0583" w:rsidP="00572686"/>
    <w:p w14:paraId="16EE28BA" w14:textId="7AAD5872" w:rsidR="005B0583" w:rsidRPr="005B0583" w:rsidRDefault="005B0583" w:rsidP="00572686">
      <w:pPr>
        <w:rPr>
          <w:b/>
          <w:bCs/>
        </w:rPr>
      </w:pPr>
      <w:r w:rsidRPr="005B0583">
        <w:rPr>
          <w:b/>
          <w:bCs/>
        </w:rPr>
        <w:t xml:space="preserve">Data processes and standardisation </w:t>
      </w:r>
    </w:p>
    <w:p w14:paraId="393995B8" w14:textId="3654823D" w:rsidR="00FB5DE7" w:rsidRDefault="00FB5DE7" w:rsidP="00572686">
      <w:r>
        <w:t xml:space="preserve">Challenges around data standardisation were discussed, particularly variations in how GP data is coded. Some members suggested that a regional approach could be a practical starting point, for example, increasing the proportion of GP practices in Yorkshire &amp; Humber using consistent coding systems. </w:t>
      </w:r>
    </w:p>
    <w:p w14:paraId="5EC63732" w14:textId="5AEF2B3D" w:rsidR="00FB5DE7" w:rsidRDefault="00FB5DE7" w:rsidP="00572686">
      <w:r>
        <w:t xml:space="preserve">There was also interest in progress towards a standardised application process for researchers requesting access to data in the SDE. </w:t>
      </w:r>
    </w:p>
    <w:p w14:paraId="43D87414" w14:textId="77777777" w:rsidR="00FB5DE7" w:rsidRDefault="00FB5DE7" w:rsidP="00572686"/>
    <w:p w14:paraId="65CE46F0" w14:textId="7620103E" w:rsidR="00FB5DE7" w:rsidRDefault="00FB5DE7" w:rsidP="00572686">
      <w:pPr>
        <w:rPr>
          <w:b/>
          <w:bCs/>
        </w:rPr>
      </w:pPr>
      <w:r w:rsidRPr="00FB5DE7">
        <w:rPr>
          <w:b/>
          <w:bCs/>
        </w:rPr>
        <w:t>Learning from other models</w:t>
      </w:r>
    </w:p>
    <w:p w14:paraId="7785A5FD" w14:textId="77777777" w:rsidR="003C50D6" w:rsidRDefault="00FB5DE7" w:rsidP="003C50D6">
      <w:r>
        <w:t xml:space="preserve">It was asked whether the Y&amp;H SDE is drawing learning from similar initiatives in other countries. It was suggested that understanding different international approaches and health priorities could help to inform local development while remaining context specific. </w:t>
      </w:r>
    </w:p>
    <w:p w14:paraId="26489919" w14:textId="77777777" w:rsidR="003C50D6" w:rsidRDefault="003C50D6" w:rsidP="003C50D6"/>
    <w:p w14:paraId="7D6B9B0F" w14:textId="63153A65" w:rsidR="003C50D6" w:rsidRDefault="00B44BBE" w:rsidP="003C50D6">
      <w:r>
        <w:rPr>
          <w:b/>
          <w:color w:val="005EB8"/>
          <w:sz w:val="52"/>
          <w:szCs w:val="52"/>
        </w:rPr>
        <w:t>Service design p</w:t>
      </w:r>
      <w:r w:rsidR="00FB5DE7">
        <w:rPr>
          <w:b/>
          <w:color w:val="005EB8"/>
          <w:sz w:val="52"/>
          <w:szCs w:val="52"/>
        </w:rPr>
        <w:t xml:space="preserve">rinciples discussion </w:t>
      </w:r>
    </w:p>
    <w:p w14:paraId="6B961F6B" w14:textId="1350A5F1" w:rsidR="003C50D6" w:rsidRDefault="00FB5DE7" w:rsidP="003C50D6">
      <w:pPr>
        <w:rPr>
          <w:bCs/>
        </w:rPr>
      </w:pPr>
      <w:r>
        <w:rPr>
          <w:bCs/>
        </w:rPr>
        <w:t xml:space="preserve">To conclude the session, there were discussions </w:t>
      </w:r>
      <w:r w:rsidR="00BC5BD6">
        <w:rPr>
          <w:bCs/>
        </w:rPr>
        <w:t xml:space="preserve">around the </w:t>
      </w:r>
      <w:r w:rsidR="00743FC9">
        <w:rPr>
          <w:bCs/>
        </w:rPr>
        <w:t xml:space="preserve">11 </w:t>
      </w:r>
      <w:r w:rsidR="00BC5BD6">
        <w:rPr>
          <w:bCs/>
        </w:rPr>
        <w:t>main</w:t>
      </w:r>
      <w:r>
        <w:rPr>
          <w:bCs/>
        </w:rPr>
        <w:t xml:space="preserve"> principles</w:t>
      </w:r>
      <w:r w:rsidR="00743FC9">
        <w:rPr>
          <w:bCs/>
        </w:rPr>
        <w:t>:</w:t>
      </w:r>
      <w:r>
        <w:rPr>
          <w:bCs/>
        </w:rPr>
        <w:t xml:space="preserve"> </w:t>
      </w:r>
    </w:p>
    <w:p w14:paraId="408F9F0C" w14:textId="3ACCB327" w:rsidR="00BC5BD6" w:rsidRDefault="00BC5BD6" w:rsidP="003C50D6">
      <w:pPr>
        <w:rPr>
          <w:bCs/>
        </w:rPr>
      </w:pPr>
      <w:r>
        <w:rPr>
          <w:bCs/>
        </w:rPr>
        <w:t>The SDE</w:t>
      </w:r>
      <w:r w:rsidR="00AE128E">
        <w:rPr>
          <w:bCs/>
        </w:rPr>
        <w:t xml:space="preserve"> is</w:t>
      </w:r>
    </w:p>
    <w:p w14:paraId="674844EB" w14:textId="0D3F6EBA" w:rsidR="003C50D6" w:rsidRPr="003C50D6" w:rsidRDefault="00BC5BD6" w:rsidP="003C50D6">
      <w:pPr>
        <w:pStyle w:val="ListParagraph"/>
        <w:keepNext/>
        <w:keepLines/>
        <w:numPr>
          <w:ilvl w:val="0"/>
          <w:numId w:val="5"/>
        </w:numPr>
        <w:pBdr>
          <w:top w:val="nil"/>
          <w:left w:val="nil"/>
          <w:bottom w:val="nil"/>
          <w:right w:val="nil"/>
          <w:between w:val="nil"/>
        </w:pBdr>
        <w:spacing w:before="240"/>
        <w:rPr>
          <w:bCs/>
        </w:rPr>
      </w:pPr>
      <w:r>
        <w:rPr>
          <w:bCs/>
        </w:rPr>
        <w:t>D</w:t>
      </w:r>
      <w:r w:rsidR="003C50D6" w:rsidRPr="003C50D6">
        <w:rPr>
          <w:bCs/>
        </w:rPr>
        <w:t xml:space="preserve">esigned and built for its users and solves their whole problem </w:t>
      </w:r>
    </w:p>
    <w:p w14:paraId="5A88E26E" w14:textId="558792DC" w:rsidR="003C50D6" w:rsidRPr="005E6C80" w:rsidRDefault="003C50D6" w:rsidP="003C50D6">
      <w:pPr>
        <w:pStyle w:val="ListParagraph"/>
        <w:keepNext/>
        <w:keepLines/>
        <w:numPr>
          <w:ilvl w:val="0"/>
          <w:numId w:val="5"/>
        </w:numPr>
        <w:pBdr>
          <w:top w:val="nil"/>
          <w:left w:val="nil"/>
          <w:bottom w:val="nil"/>
          <w:right w:val="nil"/>
          <w:between w:val="nil"/>
        </w:pBdr>
        <w:spacing w:before="240"/>
        <w:rPr>
          <w:bCs/>
        </w:rPr>
      </w:pPr>
      <w:r w:rsidRPr="005E6C80">
        <w:rPr>
          <w:bCs/>
        </w:rPr>
        <w:t>Provid</w:t>
      </w:r>
      <w:r w:rsidR="00BC5BD6">
        <w:rPr>
          <w:bCs/>
        </w:rPr>
        <w:t>ing</w:t>
      </w:r>
      <w:r w:rsidRPr="005E6C80">
        <w:rPr>
          <w:bCs/>
        </w:rPr>
        <w:t xml:space="preserve"> a single experience for its users across all routes and channels </w:t>
      </w:r>
    </w:p>
    <w:p w14:paraId="506387DA" w14:textId="4D19F217" w:rsidR="003C50D6" w:rsidRPr="005E6C80" w:rsidRDefault="00BC5BD6" w:rsidP="003C50D6">
      <w:pPr>
        <w:pStyle w:val="ListParagraph"/>
        <w:keepNext/>
        <w:keepLines/>
        <w:numPr>
          <w:ilvl w:val="0"/>
          <w:numId w:val="5"/>
        </w:numPr>
        <w:pBdr>
          <w:top w:val="nil"/>
          <w:left w:val="nil"/>
          <w:bottom w:val="nil"/>
          <w:right w:val="nil"/>
          <w:between w:val="nil"/>
        </w:pBdr>
        <w:spacing w:before="240"/>
        <w:rPr>
          <w:bCs/>
        </w:rPr>
      </w:pPr>
      <w:r>
        <w:rPr>
          <w:bCs/>
        </w:rPr>
        <w:t>S</w:t>
      </w:r>
      <w:r w:rsidR="003C50D6" w:rsidRPr="005E6C80">
        <w:rPr>
          <w:bCs/>
        </w:rPr>
        <w:t>imple to use, minimising duplication for everyone who uses the service</w:t>
      </w:r>
    </w:p>
    <w:p w14:paraId="155F93A2" w14:textId="776932F8" w:rsidR="003C50D6" w:rsidRPr="005E6C80" w:rsidRDefault="00BC5BD6" w:rsidP="003C50D6">
      <w:pPr>
        <w:pStyle w:val="ListParagraph"/>
        <w:keepNext/>
        <w:keepLines/>
        <w:numPr>
          <w:ilvl w:val="0"/>
          <w:numId w:val="5"/>
        </w:numPr>
        <w:pBdr>
          <w:top w:val="nil"/>
          <w:left w:val="nil"/>
          <w:bottom w:val="nil"/>
          <w:right w:val="nil"/>
          <w:between w:val="nil"/>
        </w:pBdr>
        <w:spacing w:before="240"/>
        <w:rPr>
          <w:bCs/>
        </w:rPr>
      </w:pPr>
      <w:r>
        <w:rPr>
          <w:bCs/>
        </w:rPr>
        <w:t>S</w:t>
      </w:r>
      <w:r w:rsidR="003C50D6" w:rsidRPr="005E6C80">
        <w:rPr>
          <w:bCs/>
        </w:rPr>
        <w:t xml:space="preserve">afe (to use), protecting privacy and security of everyone </w:t>
      </w:r>
    </w:p>
    <w:p w14:paraId="0EAF74BD" w14:textId="19D55366" w:rsidR="003C50D6" w:rsidRPr="005E6C80" w:rsidRDefault="003C50D6" w:rsidP="003C50D6">
      <w:pPr>
        <w:pStyle w:val="ListParagraph"/>
        <w:keepNext/>
        <w:keepLines/>
        <w:numPr>
          <w:ilvl w:val="0"/>
          <w:numId w:val="5"/>
        </w:numPr>
        <w:pBdr>
          <w:top w:val="nil"/>
          <w:left w:val="nil"/>
          <w:bottom w:val="nil"/>
          <w:right w:val="nil"/>
          <w:between w:val="nil"/>
        </w:pBdr>
        <w:spacing w:before="240"/>
        <w:rPr>
          <w:bCs/>
        </w:rPr>
      </w:pPr>
      <w:r w:rsidRPr="005E6C80">
        <w:rPr>
          <w:bCs/>
        </w:rPr>
        <w:t>Operat</w:t>
      </w:r>
      <w:r w:rsidR="00AE128E">
        <w:rPr>
          <w:bCs/>
        </w:rPr>
        <w:t>ing</w:t>
      </w:r>
      <w:r w:rsidRPr="005E6C80">
        <w:rPr>
          <w:bCs/>
        </w:rPr>
        <w:t xml:space="preserve"> reliably and consistently</w:t>
      </w:r>
    </w:p>
    <w:p w14:paraId="2493E4EA" w14:textId="52F9C1BA" w:rsidR="003C50D6" w:rsidRPr="005E6C80" w:rsidRDefault="00AE128E" w:rsidP="003C50D6">
      <w:pPr>
        <w:pStyle w:val="ListParagraph"/>
        <w:keepNext/>
        <w:keepLines/>
        <w:numPr>
          <w:ilvl w:val="0"/>
          <w:numId w:val="5"/>
        </w:numPr>
        <w:pBdr>
          <w:top w:val="nil"/>
          <w:left w:val="nil"/>
          <w:bottom w:val="nil"/>
          <w:right w:val="nil"/>
          <w:between w:val="nil"/>
        </w:pBdr>
        <w:spacing w:before="240"/>
        <w:rPr>
          <w:bCs/>
        </w:rPr>
      </w:pPr>
      <w:r>
        <w:rPr>
          <w:bCs/>
        </w:rPr>
        <w:t>D</w:t>
      </w:r>
      <w:r w:rsidR="003C50D6" w:rsidRPr="005E6C80">
        <w:rPr>
          <w:bCs/>
        </w:rPr>
        <w:t>eliver</w:t>
      </w:r>
      <w:r>
        <w:rPr>
          <w:bCs/>
        </w:rPr>
        <w:t>ing</w:t>
      </w:r>
      <w:r w:rsidR="003C50D6" w:rsidRPr="005E6C80">
        <w:rPr>
          <w:bCs/>
        </w:rPr>
        <w:t xml:space="preserve"> once where it makes sense to do so </w:t>
      </w:r>
    </w:p>
    <w:p w14:paraId="58C1AC90" w14:textId="0FAAEC86" w:rsidR="003C50D6" w:rsidRPr="005E6C80" w:rsidRDefault="00AE128E" w:rsidP="003C50D6">
      <w:pPr>
        <w:pStyle w:val="ListParagraph"/>
        <w:keepNext/>
        <w:keepLines/>
        <w:numPr>
          <w:ilvl w:val="0"/>
          <w:numId w:val="5"/>
        </w:numPr>
        <w:pBdr>
          <w:top w:val="nil"/>
          <w:left w:val="nil"/>
          <w:bottom w:val="nil"/>
          <w:right w:val="nil"/>
          <w:between w:val="nil"/>
        </w:pBdr>
        <w:spacing w:before="240"/>
        <w:rPr>
          <w:bCs/>
        </w:rPr>
      </w:pPr>
      <w:r>
        <w:rPr>
          <w:bCs/>
        </w:rPr>
        <w:t>L</w:t>
      </w:r>
      <w:r w:rsidR="003C50D6" w:rsidRPr="005E6C80">
        <w:rPr>
          <w:bCs/>
        </w:rPr>
        <w:t>ocal</w:t>
      </w:r>
      <w:r>
        <w:rPr>
          <w:bCs/>
        </w:rPr>
        <w:t>,</w:t>
      </w:r>
      <w:r w:rsidR="003C50D6" w:rsidRPr="005E6C80">
        <w:rPr>
          <w:bCs/>
        </w:rPr>
        <w:t xml:space="preserve"> where relationships matter </w:t>
      </w:r>
    </w:p>
    <w:p w14:paraId="1905FC10" w14:textId="2B4083DB" w:rsidR="003C50D6" w:rsidRPr="005E6C80" w:rsidRDefault="003C50D6" w:rsidP="003C50D6">
      <w:pPr>
        <w:pStyle w:val="ListParagraph"/>
        <w:keepNext/>
        <w:keepLines/>
        <w:numPr>
          <w:ilvl w:val="0"/>
          <w:numId w:val="5"/>
        </w:numPr>
        <w:pBdr>
          <w:top w:val="nil"/>
          <w:left w:val="nil"/>
          <w:bottom w:val="nil"/>
          <w:right w:val="nil"/>
          <w:between w:val="nil"/>
        </w:pBdr>
        <w:spacing w:before="240"/>
        <w:rPr>
          <w:bCs/>
        </w:rPr>
      </w:pPr>
      <w:r w:rsidRPr="005E6C80">
        <w:rPr>
          <w:bCs/>
        </w:rPr>
        <w:t>Harness</w:t>
      </w:r>
      <w:r w:rsidR="00AE128E">
        <w:rPr>
          <w:bCs/>
        </w:rPr>
        <w:t>ing</w:t>
      </w:r>
      <w:r w:rsidRPr="005E6C80">
        <w:rPr>
          <w:bCs/>
        </w:rPr>
        <w:t xml:space="preserve"> local expertise and innovation</w:t>
      </w:r>
    </w:p>
    <w:p w14:paraId="7BE89750" w14:textId="5575CF92" w:rsidR="00AE128E" w:rsidRPr="005E6C80" w:rsidRDefault="003C50D6" w:rsidP="003C50D6">
      <w:pPr>
        <w:pStyle w:val="ListParagraph"/>
        <w:keepNext/>
        <w:keepLines/>
        <w:numPr>
          <w:ilvl w:val="0"/>
          <w:numId w:val="5"/>
        </w:numPr>
        <w:pBdr>
          <w:top w:val="nil"/>
          <w:left w:val="nil"/>
          <w:bottom w:val="nil"/>
          <w:right w:val="nil"/>
          <w:between w:val="nil"/>
        </w:pBdr>
        <w:spacing w:before="240"/>
        <w:rPr>
          <w:bCs/>
        </w:rPr>
      </w:pPr>
      <w:r w:rsidRPr="005E6C80">
        <w:rPr>
          <w:bCs/>
        </w:rPr>
        <w:t>Appl</w:t>
      </w:r>
      <w:r w:rsidR="00AE128E">
        <w:rPr>
          <w:bCs/>
        </w:rPr>
        <w:t>ying</w:t>
      </w:r>
      <w:r w:rsidRPr="005E6C80">
        <w:rPr>
          <w:bCs/>
        </w:rPr>
        <w:t xml:space="preserve"> consistent</w:t>
      </w:r>
      <w:r w:rsidR="00AE128E">
        <w:rPr>
          <w:bCs/>
        </w:rPr>
        <w:t xml:space="preserve">, </w:t>
      </w:r>
      <w:r w:rsidRPr="005E6C80">
        <w:rPr>
          <w:bCs/>
        </w:rPr>
        <w:t xml:space="preserve">recognised (data/ tech/ other) standards, frameworks and artefacts </w:t>
      </w:r>
    </w:p>
    <w:p w14:paraId="432E0C5D" w14:textId="23A8EDE1" w:rsidR="003C50D6" w:rsidRPr="00AE128E" w:rsidRDefault="003C50D6" w:rsidP="00AE128E">
      <w:pPr>
        <w:pStyle w:val="ListParagraph"/>
        <w:keepNext/>
        <w:keepLines/>
        <w:numPr>
          <w:ilvl w:val="0"/>
          <w:numId w:val="5"/>
        </w:numPr>
        <w:pBdr>
          <w:top w:val="nil"/>
          <w:left w:val="nil"/>
          <w:bottom w:val="nil"/>
          <w:right w:val="nil"/>
          <w:between w:val="nil"/>
        </w:pBdr>
        <w:spacing w:before="240"/>
        <w:rPr>
          <w:bCs/>
        </w:rPr>
      </w:pPr>
      <w:r w:rsidRPr="00AE128E">
        <w:rPr>
          <w:bCs/>
        </w:rPr>
        <w:t>Adopt</w:t>
      </w:r>
      <w:r w:rsidR="00AE128E">
        <w:rPr>
          <w:bCs/>
        </w:rPr>
        <w:t>s</w:t>
      </w:r>
      <w:r w:rsidRPr="00AE128E">
        <w:rPr>
          <w:bCs/>
        </w:rPr>
        <w:t xml:space="preserve"> and adapts – 80/20. 80% standardisation with 20%</w:t>
      </w:r>
      <w:r w:rsidR="00743FC9">
        <w:rPr>
          <w:bCs/>
        </w:rPr>
        <w:t xml:space="preserve"> </w:t>
      </w:r>
      <w:r w:rsidRPr="00AE128E">
        <w:rPr>
          <w:bCs/>
        </w:rPr>
        <w:t>customisation for variations</w:t>
      </w:r>
    </w:p>
    <w:p w14:paraId="589D26D2" w14:textId="6CF56F88" w:rsidR="003C50D6" w:rsidRDefault="003C50D6" w:rsidP="003C50D6">
      <w:pPr>
        <w:pStyle w:val="ListParagraph"/>
        <w:keepNext/>
        <w:keepLines/>
        <w:numPr>
          <w:ilvl w:val="0"/>
          <w:numId w:val="5"/>
        </w:numPr>
        <w:pBdr>
          <w:top w:val="nil"/>
          <w:left w:val="nil"/>
          <w:bottom w:val="nil"/>
          <w:right w:val="nil"/>
          <w:between w:val="nil"/>
        </w:pBdr>
        <w:spacing w:before="240"/>
        <w:rPr>
          <w:bCs/>
        </w:rPr>
      </w:pPr>
      <w:r w:rsidRPr="005E6C80">
        <w:rPr>
          <w:bCs/>
        </w:rPr>
        <w:t>Work</w:t>
      </w:r>
      <w:r w:rsidR="00AE128E">
        <w:rPr>
          <w:bCs/>
        </w:rPr>
        <w:t>ing</w:t>
      </w:r>
      <w:r w:rsidRPr="005E6C80">
        <w:rPr>
          <w:bCs/>
        </w:rPr>
        <w:t xml:space="preserve"> in collaboration, not competition</w:t>
      </w:r>
      <w:r w:rsidR="00AE128E">
        <w:rPr>
          <w:bCs/>
        </w:rPr>
        <w:t>.</w:t>
      </w:r>
    </w:p>
    <w:p w14:paraId="0206B157" w14:textId="77777777" w:rsidR="003C50D6" w:rsidRDefault="003C50D6" w:rsidP="003C50D6">
      <w:pPr>
        <w:rPr>
          <w:bCs/>
        </w:rPr>
      </w:pPr>
    </w:p>
    <w:p w14:paraId="7DDC8D3C" w14:textId="23D260B7" w:rsidR="003C50D6" w:rsidRDefault="003C50D6" w:rsidP="003C50D6">
      <w:pPr>
        <w:keepNext/>
        <w:keepLines/>
        <w:pBdr>
          <w:top w:val="nil"/>
          <w:left w:val="nil"/>
          <w:bottom w:val="nil"/>
          <w:right w:val="nil"/>
          <w:between w:val="nil"/>
        </w:pBdr>
        <w:spacing w:before="240"/>
        <w:rPr>
          <w:bCs/>
        </w:rPr>
      </w:pPr>
      <w:r>
        <w:rPr>
          <w:bCs/>
        </w:rPr>
        <w:lastRenderedPageBreak/>
        <w:t>There was strong support for recognising and valuing patient data, with a clear emphasis on delivering public benefits.</w:t>
      </w:r>
    </w:p>
    <w:p w14:paraId="7EE2A7B2" w14:textId="71F0954C" w:rsidR="009A3B51" w:rsidRDefault="009A3B51" w:rsidP="003C50D6">
      <w:pPr>
        <w:keepNext/>
        <w:keepLines/>
        <w:pBdr>
          <w:top w:val="nil"/>
          <w:left w:val="nil"/>
          <w:bottom w:val="nil"/>
          <w:right w:val="nil"/>
          <w:between w:val="nil"/>
        </w:pBdr>
        <w:spacing w:before="240"/>
        <w:rPr>
          <w:bCs/>
        </w:rPr>
      </w:pPr>
      <w:r>
        <w:rPr>
          <w:bCs/>
        </w:rPr>
        <w:t>There was a request for clarity on how specific principles, for example the 10</w:t>
      </w:r>
      <w:r w:rsidRPr="009A3B51">
        <w:rPr>
          <w:bCs/>
          <w:vertAlign w:val="superscript"/>
        </w:rPr>
        <w:t>th</w:t>
      </w:r>
      <w:r>
        <w:rPr>
          <w:bCs/>
        </w:rPr>
        <w:t xml:space="preserve"> principle (</w:t>
      </w:r>
      <w:r w:rsidRPr="009A3B51">
        <w:rPr>
          <w:bCs/>
        </w:rPr>
        <w:t>Adopts and adapts – 80/20. 80% standardisation with 20%customisation for variations</w:t>
      </w:r>
      <w:r>
        <w:rPr>
          <w:bCs/>
        </w:rPr>
        <w:t xml:space="preserve">) are being put into practice. </w:t>
      </w:r>
    </w:p>
    <w:p w14:paraId="505DD435" w14:textId="17284E77" w:rsidR="009A3B51" w:rsidRDefault="009A3B51" w:rsidP="003C50D6">
      <w:pPr>
        <w:keepNext/>
        <w:keepLines/>
        <w:pBdr>
          <w:top w:val="nil"/>
          <w:left w:val="nil"/>
          <w:bottom w:val="nil"/>
          <w:right w:val="nil"/>
          <w:between w:val="nil"/>
        </w:pBdr>
        <w:spacing w:before="240"/>
        <w:rPr>
          <w:bCs/>
        </w:rPr>
      </w:pPr>
      <w:r>
        <w:rPr>
          <w:bCs/>
        </w:rPr>
        <w:t xml:space="preserve">PAG members recommended to strengthen the co-design approaches, ensuring that communities are actively involved through user testing and engagement at all stages. </w:t>
      </w:r>
    </w:p>
    <w:p w14:paraId="6EA5F7BD" w14:textId="0EA09405" w:rsidR="009A3B51" w:rsidRDefault="009A3B51" w:rsidP="003C50D6">
      <w:pPr>
        <w:keepNext/>
        <w:keepLines/>
        <w:pBdr>
          <w:top w:val="nil"/>
          <w:left w:val="nil"/>
          <w:bottom w:val="nil"/>
          <w:right w:val="nil"/>
          <w:between w:val="nil"/>
        </w:pBdr>
        <w:spacing w:before="240"/>
        <w:rPr>
          <w:bCs/>
        </w:rPr>
      </w:pPr>
      <w:r>
        <w:rPr>
          <w:bCs/>
        </w:rPr>
        <w:t xml:space="preserve">The importance of flexibility within the principles, was noted, to allow the programme to adopt as it evolves. </w:t>
      </w:r>
    </w:p>
    <w:p w14:paraId="73A1C33C" w14:textId="23A122F6" w:rsidR="009A3B51" w:rsidRDefault="009A3B51" w:rsidP="003C50D6">
      <w:pPr>
        <w:keepNext/>
        <w:keepLines/>
        <w:pBdr>
          <w:top w:val="nil"/>
          <w:left w:val="nil"/>
          <w:bottom w:val="nil"/>
          <w:right w:val="nil"/>
          <w:between w:val="nil"/>
        </w:pBdr>
        <w:spacing w:before="240"/>
        <w:rPr>
          <w:bCs/>
        </w:rPr>
      </w:pPr>
      <w:r>
        <w:rPr>
          <w:bCs/>
        </w:rPr>
        <w:t>There was also a consideration of how principles align with decisions about where and how data is stored, ensuring consistency between the values and implantation.</w:t>
      </w:r>
    </w:p>
    <w:p w14:paraId="5420CE73" w14:textId="77777777" w:rsidR="003C50D6" w:rsidRDefault="003C50D6" w:rsidP="003C50D6">
      <w:pPr>
        <w:keepNext/>
        <w:keepLines/>
        <w:pBdr>
          <w:top w:val="nil"/>
          <w:left w:val="nil"/>
          <w:bottom w:val="nil"/>
          <w:right w:val="nil"/>
          <w:between w:val="nil"/>
        </w:pBdr>
        <w:spacing w:before="240"/>
        <w:rPr>
          <w:bCs/>
        </w:rPr>
      </w:pPr>
    </w:p>
    <w:p w14:paraId="295A2A0C" w14:textId="5B5CB16E" w:rsidR="003F6C89" w:rsidRPr="003F6C89" w:rsidRDefault="003F6C89" w:rsidP="003F6C89">
      <w:pPr>
        <w:keepNext/>
        <w:keepLines/>
        <w:pBdr>
          <w:top w:val="nil"/>
          <w:left w:val="nil"/>
          <w:bottom w:val="nil"/>
          <w:right w:val="nil"/>
          <w:between w:val="nil"/>
        </w:pBdr>
        <w:spacing w:before="240" w:line="264" w:lineRule="auto"/>
        <w:rPr>
          <w:b/>
          <w:color w:val="005EB8"/>
          <w:sz w:val="52"/>
          <w:szCs w:val="52"/>
        </w:rPr>
      </w:pPr>
      <w:r>
        <w:rPr>
          <w:b/>
          <w:color w:val="005EB8"/>
          <w:sz w:val="52"/>
          <w:szCs w:val="52"/>
        </w:rPr>
        <w:t>Next steps</w:t>
      </w:r>
    </w:p>
    <w:p w14:paraId="322E30C9" w14:textId="5AE64E40" w:rsidR="00846DC7" w:rsidRDefault="00846DC7" w:rsidP="00846DC7">
      <w:pPr>
        <w:keepNext/>
        <w:keepLines/>
        <w:pBdr>
          <w:top w:val="nil"/>
          <w:left w:val="nil"/>
          <w:bottom w:val="nil"/>
          <w:right w:val="nil"/>
          <w:between w:val="nil"/>
        </w:pBdr>
        <w:spacing w:before="240"/>
        <w:rPr>
          <w:bCs/>
        </w:rPr>
      </w:pPr>
      <w:r w:rsidRPr="00846DC7">
        <w:rPr>
          <w:bCs/>
        </w:rPr>
        <w:t>The feedback and recommendations provided by participants will help shape future activities. The following next steps outline how these views will be taken forward.</w:t>
      </w:r>
    </w:p>
    <w:p w14:paraId="11D67427" w14:textId="528778B2" w:rsidR="003F6C89" w:rsidRPr="003F6C89" w:rsidRDefault="003F6C89" w:rsidP="003F6C89">
      <w:pPr>
        <w:keepNext/>
        <w:keepLines/>
        <w:numPr>
          <w:ilvl w:val="0"/>
          <w:numId w:val="6"/>
        </w:numPr>
        <w:pBdr>
          <w:top w:val="nil"/>
          <w:left w:val="nil"/>
          <w:bottom w:val="nil"/>
          <w:right w:val="nil"/>
          <w:between w:val="nil"/>
        </w:pBdr>
        <w:spacing w:before="240"/>
        <w:rPr>
          <w:bCs/>
        </w:rPr>
      </w:pPr>
      <w:r w:rsidRPr="003F6C89">
        <w:rPr>
          <w:bCs/>
        </w:rPr>
        <w:t>Demonstrate how PAG feedback has directly influenced decision-making through regular "You Said, We Did" updates</w:t>
      </w:r>
    </w:p>
    <w:p w14:paraId="6B32B5A3" w14:textId="77777777" w:rsidR="003F6C89" w:rsidRPr="003F6C89" w:rsidRDefault="003F6C89" w:rsidP="003F6C89">
      <w:pPr>
        <w:keepNext/>
        <w:keepLines/>
        <w:numPr>
          <w:ilvl w:val="0"/>
          <w:numId w:val="6"/>
        </w:numPr>
        <w:pBdr>
          <w:top w:val="nil"/>
          <w:left w:val="nil"/>
          <w:bottom w:val="nil"/>
          <w:right w:val="nil"/>
          <w:between w:val="nil"/>
        </w:pBdr>
        <w:spacing w:before="240"/>
        <w:rPr>
          <w:bCs/>
        </w:rPr>
      </w:pPr>
      <w:r w:rsidRPr="003F6C89">
        <w:rPr>
          <w:bCs/>
        </w:rPr>
        <w:t>Define and communicate the programme's distinctive regional strengths and areas of expertise</w:t>
      </w:r>
    </w:p>
    <w:p w14:paraId="136F1445" w14:textId="77777777" w:rsidR="003F6C89" w:rsidRPr="003F6C89" w:rsidRDefault="003F6C89" w:rsidP="003F6C89">
      <w:pPr>
        <w:keepNext/>
        <w:keepLines/>
        <w:numPr>
          <w:ilvl w:val="0"/>
          <w:numId w:val="6"/>
        </w:numPr>
        <w:pBdr>
          <w:top w:val="nil"/>
          <w:left w:val="nil"/>
          <w:bottom w:val="nil"/>
          <w:right w:val="nil"/>
          <w:between w:val="nil"/>
        </w:pBdr>
        <w:spacing w:before="240"/>
        <w:rPr>
          <w:bCs/>
        </w:rPr>
      </w:pPr>
      <w:r w:rsidRPr="003F6C89">
        <w:rPr>
          <w:bCs/>
        </w:rPr>
        <w:t>Establish opportunities for PAG members to review and test service developments</w:t>
      </w:r>
    </w:p>
    <w:p w14:paraId="27695DD4" w14:textId="77777777" w:rsidR="003F6C89" w:rsidRPr="003F6C89" w:rsidRDefault="003F6C89" w:rsidP="003F6C89">
      <w:pPr>
        <w:keepNext/>
        <w:keepLines/>
        <w:numPr>
          <w:ilvl w:val="0"/>
          <w:numId w:val="6"/>
        </w:numPr>
        <w:pBdr>
          <w:top w:val="nil"/>
          <w:left w:val="nil"/>
          <w:bottom w:val="nil"/>
          <w:right w:val="nil"/>
          <w:between w:val="nil"/>
        </w:pBdr>
        <w:spacing w:before="240"/>
        <w:rPr>
          <w:bCs/>
        </w:rPr>
      </w:pPr>
      <w:r w:rsidRPr="003F6C89">
        <w:rPr>
          <w:bCs/>
        </w:rPr>
        <w:t>Involve public contributors in user journey mapping and interface design activities</w:t>
      </w:r>
    </w:p>
    <w:p w14:paraId="104161CA" w14:textId="77777777" w:rsidR="003F6C89" w:rsidRPr="003F6C89" w:rsidRDefault="003F6C89" w:rsidP="003F6C89">
      <w:pPr>
        <w:keepNext/>
        <w:keepLines/>
        <w:numPr>
          <w:ilvl w:val="0"/>
          <w:numId w:val="6"/>
        </w:numPr>
        <w:pBdr>
          <w:top w:val="nil"/>
          <w:left w:val="nil"/>
          <w:bottom w:val="nil"/>
          <w:right w:val="nil"/>
          <w:between w:val="nil"/>
        </w:pBdr>
        <w:spacing w:before="240"/>
        <w:rPr>
          <w:bCs/>
        </w:rPr>
      </w:pPr>
      <w:r w:rsidRPr="003F6C89">
        <w:rPr>
          <w:bCs/>
        </w:rPr>
        <w:t>Develop case studies and examples demonstrating how secure data access can improve healthcare, research, and patient outcomes</w:t>
      </w:r>
    </w:p>
    <w:p w14:paraId="375138B5" w14:textId="77777777" w:rsidR="003F6C89" w:rsidRPr="003F6C89" w:rsidRDefault="003F6C89" w:rsidP="003F6C89">
      <w:pPr>
        <w:keepNext/>
        <w:keepLines/>
        <w:numPr>
          <w:ilvl w:val="0"/>
          <w:numId w:val="6"/>
        </w:numPr>
        <w:pBdr>
          <w:top w:val="nil"/>
          <w:left w:val="nil"/>
          <w:bottom w:val="nil"/>
          <w:right w:val="nil"/>
          <w:between w:val="nil"/>
        </w:pBdr>
        <w:spacing w:before="240"/>
        <w:rPr>
          <w:bCs/>
        </w:rPr>
      </w:pPr>
      <w:r w:rsidRPr="003F6C89">
        <w:rPr>
          <w:bCs/>
        </w:rPr>
        <w:t>Develop simple visual explanations outlining how data moves through the SDE and how safeguards operate</w:t>
      </w:r>
    </w:p>
    <w:p w14:paraId="41F945AE" w14:textId="77777777" w:rsidR="003F6C89" w:rsidRPr="003F6C89" w:rsidRDefault="003F6C89" w:rsidP="003F6C89">
      <w:pPr>
        <w:keepNext/>
        <w:keepLines/>
        <w:numPr>
          <w:ilvl w:val="0"/>
          <w:numId w:val="6"/>
        </w:numPr>
        <w:pBdr>
          <w:top w:val="nil"/>
          <w:left w:val="nil"/>
          <w:bottom w:val="nil"/>
          <w:right w:val="nil"/>
          <w:between w:val="nil"/>
        </w:pBdr>
        <w:spacing w:before="240"/>
        <w:rPr>
          <w:bCs/>
        </w:rPr>
      </w:pPr>
      <w:r w:rsidRPr="003F6C89">
        <w:rPr>
          <w:bCs/>
        </w:rPr>
        <w:t>Provide clear information regarding data opt-out arrangements and any relevant choices available to individuals</w:t>
      </w:r>
    </w:p>
    <w:p w14:paraId="12F2FA75" w14:textId="77777777" w:rsidR="003F6C89" w:rsidRPr="003F6C89" w:rsidRDefault="003F6C89" w:rsidP="003F6C89">
      <w:pPr>
        <w:keepNext/>
        <w:keepLines/>
        <w:numPr>
          <w:ilvl w:val="0"/>
          <w:numId w:val="6"/>
        </w:numPr>
        <w:pBdr>
          <w:top w:val="nil"/>
          <w:left w:val="nil"/>
          <w:bottom w:val="nil"/>
          <w:right w:val="nil"/>
          <w:between w:val="nil"/>
        </w:pBdr>
        <w:spacing w:before="240"/>
        <w:rPr>
          <w:bCs/>
        </w:rPr>
      </w:pPr>
      <w:r w:rsidRPr="003F6C89">
        <w:rPr>
          <w:bCs/>
        </w:rPr>
        <w:lastRenderedPageBreak/>
        <w:t>Develop prototype user journeys for researchers and data applicants</w:t>
      </w:r>
    </w:p>
    <w:p w14:paraId="0E7F109B" w14:textId="77777777" w:rsidR="003F6C89" w:rsidRPr="003F6C89" w:rsidRDefault="003F6C89" w:rsidP="003F6C89">
      <w:pPr>
        <w:keepNext/>
        <w:keepLines/>
        <w:numPr>
          <w:ilvl w:val="0"/>
          <w:numId w:val="6"/>
        </w:numPr>
        <w:pBdr>
          <w:top w:val="nil"/>
          <w:left w:val="nil"/>
          <w:bottom w:val="nil"/>
          <w:right w:val="nil"/>
          <w:between w:val="nil"/>
        </w:pBdr>
        <w:spacing w:before="240"/>
        <w:rPr>
          <w:bCs/>
        </w:rPr>
      </w:pPr>
      <w:r w:rsidRPr="003F6C89">
        <w:rPr>
          <w:bCs/>
        </w:rPr>
        <w:t>Regularly review the principles to ensure they remain relevant as the programme evolves</w:t>
      </w:r>
    </w:p>
    <w:p w14:paraId="3CF6BD06" w14:textId="0CFD08AF" w:rsidR="003F6C89" w:rsidRDefault="003F6C89" w:rsidP="003C50D6">
      <w:pPr>
        <w:keepNext/>
        <w:keepLines/>
        <w:numPr>
          <w:ilvl w:val="0"/>
          <w:numId w:val="6"/>
        </w:numPr>
        <w:pBdr>
          <w:top w:val="nil"/>
          <w:left w:val="nil"/>
          <w:bottom w:val="nil"/>
          <w:right w:val="nil"/>
          <w:between w:val="nil"/>
        </w:pBdr>
        <w:spacing w:before="240"/>
        <w:rPr>
          <w:bCs/>
        </w:rPr>
      </w:pPr>
      <w:r w:rsidRPr="003F6C89">
        <w:rPr>
          <w:bCs/>
        </w:rPr>
        <w:t>Provide accessible explanations of privacy, security and governance safeguards</w:t>
      </w:r>
    </w:p>
    <w:p w14:paraId="3A97D283" w14:textId="77777777" w:rsidR="003F6C89" w:rsidRPr="003F6C89" w:rsidRDefault="003F6C89" w:rsidP="003F6C89">
      <w:pPr>
        <w:keepNext/>
        <w:keepLines/>
        <w:pBdr>
          <w:top w:val="nil"/>
          <w:left w:val="nil"/>
          <w:bottom w:val="nil"/>
          <w:right w:val="nil"/>
          <w:between w:val="nil"/>
        </w:pBdr>
        <w:spacing w:before="240"/>
        <w:ind w:left="720"/>
        <w:rPr>
          <w:bCs/>
        </w:rPr>
      </w:pPr>
    </w:p>
    <w:p w14:paraId="015E7D15" w14:textId="7E170E2A" w:rsidR="009A3B51" w:rsidRDefault="009A3B51" w:rsidP="009A3B51">
      <w:pPr>
        <w:keepNext/>
        <w:keepLines/>
        <w:pBdr>
          <w:top w:val="nil"/>
          <w:left w:val="nil"/>
          <w:bottom w:val="nil"/>
          <w:right w:val="nil"/>
          <w:between w:val="nil"/>
        </w:pBdr>
        <w:spacing w:before="240" w:line="264" w:lineRule="auto"/>
        <w:rPr>
          <w:b/>
          <w:color w:val="005EB8"/>
          <w:sz w:val="52"/>
          <w:szCs w:val="52"/>
        </w:rPr>
      </w:pPr>
      <w:r>
        <w:rPr>
          <w:b/>
          <w:color w:val="005EB8"/>
          <w:sz w:val="52"/>
          <w:szCs w:val="52"/>
        </w:rPr>
        <w:t>Conclusion</w:t>
      </w:r>
    </w:p>
    <w:p w14:paraId="43EF71FE" w14:textId="61B9DF9A" w:rsidR="009A3B51" w:rsidRPr="009A3B51" w:rsidRDefault="009A3B51" w:rsidP="009A3B51">
      <w:pPr>
        <w:keepNext/>
        <w:keepLines/>
        <w:pBdr>
          <w:top w:val="nil"/>
          <w:left w:val="nil"/>
          <w:bottom w:val="nil"/>
          <w:right w:val="nil"/>
          <w:between w:val="nil"/>
        </w:pBdr>
        <w:spacing w:before="240" w:line="264" w:lineRule="auto"/>
        <w:rPr>
          <w:bCs/>
        </w:rPr>
      </w:pPr>
      <w:r>
        <w:rPr>
          <w:bCs/>
        </w:rPr>
        <w:t>Overall</w:t>
      </w:r>
      <w:r w:rsidR="001736F6">
        <w:rPr>
          <w:bCs/>
        </w:rPr>
        <w:t xml:space="preserve">, </w:t>
      </w:r>
      <w:r>
        <w:rPr>
          <w:bCs/>
        </w:rPr>
        <w:t xml:space="preserve">the session was viewed as a significant and positive step forward and </w:t>
      </w:r>
      <w:r w:rsidR="001736F6">
        <w:rPr>
          <w:bCs/>
        </w:rPr>
        <w:t xml:space="preserve">members of the PAG </w:t>
      </w:r>
      <w:r>
        <w:rPr>
          <w:bCs/>
        </w:rPr>
        <w:t>left with increased confidence in the direction of the Y&amp;H SDE</w:t>
      </w:r>
      <w:r w:rsidR="001736F6">
        <w:rPr>
          <w:bCs/>
        </w:rPr>
        <w:t>. The session highlighted</w:t>
      </w:r>
      <w:r>
        <w:rPr>
          <w:bCs/>
        </w:rPr>
        <w:t xml:space="preserve"> key areas where continued engagement, transparency and co-production/ co-design will be essential throughout the </w:t>
      </w:r>
      <w:r w:rsidR="001736F6">
        <w:rPr>
          <w:bCs/>
        </w:rPr>
        <w:t xml:space="preserve">SDE </w:t>
      </w:r>
      <w:r>
        <w:rPr>
          <w:bCs/>
        </w:rPr>
        <w:t xml:space="preserve">programme. </w:t>
      </w:r>
    </w:p>
    <w:p w14:paraId="76A1C11F" w14:textId="77777777" w:rsidR="00FB5DE7" w:rsidRPr="00FB5DE7" w:rsidRDefault="00FB5DE7" w:rsidP="00FB5DE7">
      <w:pPr>
        <w:keepNext/>
        <w:keepLines/>
        <w:pBdr>
          <w:top w:val="nil"/>
          <w:left w:val="nil"/>
          <w:bottom w:val="nil"/>
          <w:right w:val="nil"/>
          <w:between w:val="nil"/>
        </w:pBdr>
        <w:spacing w:before="240" w:line="264" w:lineRule="auto"/>
        <w:rPr>
          <w:bCs/>
        </w:rPr>
      </w:pPr>
    </w:p>
    <w:p w14:paraId="1A1ED5D6" w14:textId="77777777" w:rsidR="00FB5DE7" w:rsidRPr="00E17474" w:rsidRDefault="00FB5DE7" w:rsidP="00572686"/>
    <w:p w14:paraId="4BA5B796" w14:textId="7F0BCEF5" w:rsidR="00565A0D" w:rsidRDefault="00565A0D" w:rsidP="00565A0D">
      <w:pPr>
        <w:keepNext/>
        <w:keepLines/>
        <w:pBdr>
          <w:top w:val="nil"/>
          <w:left w:val="nil"/>
          <w:bottom w:val="nil"/>
          <w:right w:val="nil"/>
          <w:between w:val="nil"/>
        </w:pBdr>
        <w:spacing w:before="240" w:line="264" w:lineRule="auto"/>
        <w:rPr>
          <w:bCs/>
        </w:rPr>
      </w:pPr>
    </w:p>
    <w:p w14:paraId="58E1FB40" w14:textId="2AB4CFCC" w:rsidR="00565A0D" w:rsidRPr="00055071" w:rsidRDefault="00565A0D" w:rsidP="00055071">
      <w:pPr>
        <w:keepNext/>
        <w:keepLines/>
        <w:pBdr>
          <w:top w:val="nil"/>
          <w:left w:val="nil"/>
          <w:bottom w:val="nil"/>
          <w:right w:val="nil"/>
          <w:between w:val="nil"/>
        </w:pBdr>
        <w:spacing w:before="240"/>
        <w:rPr>
          <w:bCs/>
        </w:rPr>
      </w:pPr>
    </w:p>
    <w:p w14:paraId="3B86B32E" w14:textId="77777777" w:rsidR="008F70CF" w:rsidRPr="008F70CF" w:rsidRDefault="008F70CF" w:rsidP="008F70CF">
      <w:pPr>
        <w:keepNext/>
        <w:keepLines/>
        <w:pBdr>
          <w:top w:val="nil"/>
          <w:left w:val="nil"/>
          <w:bottom w:val="nil"/>
          <w:right w:val="nil"/>
          <w:between w:val="nil"/>
        </w:pBdr>
        <w:spacing w:before="240" w:line="264" w:lineRule="auto"/>
        <w:rPr>
          <w:bCs/>
        </w:rPr>
      </w:pPr>
    </w:p>
    <w:p w14:paraId="207E5EBE" w14:textId="5EA0E6B0" w:rsidR="00EC37F9" w:rsidRPr="009A3B51" w:rsidRDefault="00EC37F9">
      <w:pPr>
        <w:rPr>
          <w:color w:val="005EB8"/>
          <w:sz w:val="52"/>
          <w:szCs w:val="52"/>
        </w:rPr>
      </w:pPr>
      <w:bookmarkStart w:id="3" w:name="_heading=h.3znysh7" w:colFirst="0" w:colLast="0"/>
      <w:bookmarkEnd w:id="3"/>
    </w:p>
    <w:p w14:paraId="2B055B44" w14:textId="77777777" w:rsidR="00EC37F9" w:rsidRDefault="00EC37F9"/>
    <w:sectPr w:rsidR="00EC37F9">
      <w:headerReference w:type="default" r:id="rId8"/>
      <w:footerReference w:type="even" r:id="rId9"/>
      <w:footerReference w:type="default" r:id="rId10"/>
      <w:headerReference w:type="first" r:id="rId11"/>
      <w:pgSz w:w="11900" w:h="16840"/>
      <w:pgMar w:top="2835" w:right="1440" w:bottom="1440" w:left="1440"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EF0C16" w14:textId="77777777" w:rsidR="00015970" w:rsidRDefault="00015970">
      <w:pPr>
        <w:spacing w:before="0" w:after="0"/>
      </w:pPr>
      <w:r>
        <w:separator/>
      </w:r>
    </w:p>
  </w:endnote>
  <w:endnote w:type="continuationSeparator" w:id="0">
    <w:p w14:paraId="097270E0" w14:textId="77777777" w:rsidR="00015970" w:rsidRDefault="0001597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3598FB14-0233-484D-9752-B359B7E81778}"/>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2" w:fontKey="{BC392817-B049-48D0-8CFB-15E175A0D02A}"/>
    <w:embedItalic r:id="rId3" w:fontKey="{C74899F4-F144-4ADF-B0E3-018FDB2D9189}"/>
  </w:font>
  <w:font w:name="Times New Roman (Body CS)">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4" w:fontKey="{15886D16-3AF0-47E2-B19D-06FBF31B04D0}"/>
    <w:embedBold r:id="rId5" w:fontKey="{44003EB0-6802-4331-A70E-DC3E7B5CF1A8}"/>
    <w:embedBoldItalic r:id="rId6" w:fontKey="{8833CF9D-4543-4542-AA29-660CB2A6E0E0}"/>
  </w:font>
  <w:font w:name="Georgia">
    <w:panose1 w:val="02040502050405020303"/>
    <w:charset w:val="00"/>
    <w:family w:val="roman"/>
    <w:pitch w:val="variable"/>
    <w:sig w:usb0="00000287" w:usb1="00000000" w:usb2="00000000" w:usb3="00000000" w:csb0="0000009F" w:csb1="00000000"/>
    <w:embedRegular r:id="rId7" w:fontKey="{8C6D48E6-D276-4364-A068-B008E235EE8E}"/>
    <w:embedItalic r:id="rId8" w:fontKey="{A3AE5E2E-4C91-4C78-A3D9-E550E1CB7E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99F47" w14:textId="77777777" w:rsidR="00EC37F9" w:rsidRDefault="001A1F51">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B104701" w14:textId="77777777" w:rsidR="00EC37F9" w:rsidRDefault="00EC37F9">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5DAFD" w14:textId="77777777" w:rsidR="00EC37F9" w:rsidRDefault="001A1F51">
    <w:pPr>
      <w:pBdr>
        <w:top w:val="nil"/>
        <w:left w:val="nil"/>
        <w:bottom w:val="nil"/>
        <w:right w:val="nil"/>
        <w:between w:val="nil"/>
      </w:pBdr>
      <w:tabs>
        <w:tab w:val="center" w:pos="4680"/>
        <w:tab w:val="right" w:pos="9360"/>
      </w:tabs>
      <w:jc w:val="center"/>
      <w:rPr>
        <w:b/>
        <w:color w:val="005EB8"/>
        <w:sz w:val="18"/>
        <w:szCs w:val="18"/>
      </w:rPr>
    </w:pPr>
    <w:r>
      <w:rPr>
        <w:b/>
        <w:color w:val="005EB8"/>
        <w:sz w:val="18"/>
        <w:szCs w:val="18"/>
      </w:rPr>
      <w:fldChar w:fldCharType="begin"/>
    </w:r>
    <w:r>
      <w:rPr>
        <w:b/>
        <w:color w:val="005EB8"/>
        <w:sz w:val="18"/>
        <w:szCs w:val="18"/>
      </w:rPr>
      <w:instrText>PAGE</w:instrText>
    </w:r>
    <w:r>
      <w:rPr>
        <w:b/>
        <w:color w:val="005EB8"/>
        <w:sz w:val="18"/>
        <w:szCs w:val="18"/>
      </w:rPr>
      <w:fldChar w:fldCharType="separate"/>
    </w:r>
    <w:r w:rsidR="008F70CF">
      <w:rPr>
        <w:b/>
        <w:noProof/>
        <w:color w:val="005EB8"/>
        <w:sz w:val="18"/>
        <w:szCs w:val="18"/>
      </w:rPr>
      <w:t>2</w:t>
    </w:r>
    <w:r>
      <w:rPr>
        <w:b/>
        <w:color w:val="005EB8"/>
        <w:sz w:val="18"/>
        <w:szCs w:val="18"/>
      </w:rPr>
      <w:fldChar w:fldCharType="end"/>
    </w:r>
  </w:p>
  <w:p w14:paraId="0DEEF959" w14:textId="77777777" w:rsidR="00EC37F9" w:rsidRDefault="00EC37F9">
    <w:pPr>
      <w:pBdr>
        <w:top w:val="nil"/>
        <w:left w:val="nil"/>
        <w:bottom w:val="nil"/>
        <w:right w:val="nil"/>
        <w:between w:val="nil"/>
      </w:pBdr>
      <w:tabs>
        <w:tab w:val="center" w:pos="4680"/>
        <w:tab w:val="right" w:pos="9360"/>
      </w:tabs>
      <w:rPr>
        <w:b/>
        <w:color w:val="005EB8"/>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068143" w14:textId="77777777" w:rsidR="00015970" w:rsidRDefault="00015970">
      <w:pPr>
        <w:spacing w:before="0" w:after="0"/>
      </w:pPr>
      <w:r>
        <w:separator/>
      </w:r>
    </w:p>
  </w:footnote>
  <w:footnote w:type="continuationSeparator" w:id="0">
    <w:p w14:paraId="5D0CDFFC" w14:textId="77777777" w:rsidR="00015970" w:rsidRDefault="00015970">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74588" w14:textId="77777777" w:rsidR="00EC37F9" w:rsidRDefault="001A1F51">
    <w:pPr>
      <w:pBdr>
        <w:top w:val="nil"/>
        <w:left w:val="nil"/>
        <w:bottom w:val="nil"/>
        <w:right w:val="nil"/>
        <w:between w:val="nil"/>
      </w:pBdr>
      <w:tabs>
        <w:tab w:val="center" w:pos="4680"/>
        <w:tab w:val="right" w:pos="9360"/>
      </w:tabs>
      <w:rPr>
        <w:color w:val="000000"/>
      </w:rPr>
    </w:pPr>
    <w:r>
      <w:rPr>
        <w:noProof/>
        <w:color w:val="000000"/>
      </w:rPr>
      <w:drawing>
        <wp:anchor distT="0" distB="0" distL="0" distR="0" simplePos="0" relativeHeight="251658240" behindDoc="1" locked="0" layoutInCell="1" hidden="0" allowOverlap="1" wp14:anchorId="1BBB0357" wp14:editId="707BEF5A">
          <wp:simplePos x="0" y="0"/>
          <wp:positionH relativeFrom="page">
            <wp:align>center</wp:align>
          </wp:positionH>
          <wp:positionV relativeFrom="page">
            <wp:align>top</wp:align>
          </wp:positionV>
          <wp:extent cx="7560000" cy="10699200"/>
          <wp:effectExtent l="0" t="0" r="0" b="0"/>
          <wp:wrapNone/>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560000" cy="106992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61B5F" w14:textId="77777777" w:rsidR="00EC37F9" w:rsidRDefault="001A1F51">
    <w:pPr>
      <w:pBdr>
        <w:top w:val="nil"/>
        <w:left w:val="nil"/>
        <w:bottom w:val="nil"/>
        <w:right w:val="nil"/>
        <w:between w:val="nil"/>
      </w:pBdr>
      <w:tabs>
        <w:tab w:val="center" w:pos="4680"/>
        <w:tab w:val="right" w:pos="9360"/>
      </w:tabs>
      <w:rPr>
        <w:color w:val="000000"/>
      </w:rPr>
    </w:pPr>
    <w:r>
      <w:rPr>
        <w:noProof/>
        <w:color w:val="000000"/>
      </w:rPr>
      <w:drawing>
        <wp:anchor distT="0" distB="0" distL="0" distR="0" simplePos="0" relativeHeight="251659264" behindDoc="1" locked="0" layoutInCell="1" hidden="0" allowOverlap="1" wp14:anchorId="5D9A4C3A" wp14:editId="036B22B8">
          <wp:simplePos x="0" y="0"/>
          <wp:positionH relativeFrom="page">
            <wp:align>center</wp:align>
          </wp:positionH>
          <wp:positionV relativeFrom="page">
            <wp:align>top</wp:align>
          </wp:positionV>
          <wp:extent cx="7560000" cy="10699200"/>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560000" cy="106992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7E59FB"/>
    <w:multiLevelType w:val="hybridMultilevel"/>
    <w:tmpl w:val="670227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5443395"/>
    <w:multiLevelType w:val="multilevel"/>
    <w:tmpl w:val="1A3247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2247899"/>
    <w:multiLevelType w:val="multilevel"/>
    <w:tmpl w:val="B8D69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7673F5"/>
    <w:multiLevelType w:val="hybridMultilevel"/>
    <w:tmpl w:val="78223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D3761EA"/>
    <w:multiLevelType w:val="multilevel"/>
    <w:tmpl w:val="2EF6E488"/>
    <w:lvl w:ilvl="0">
      <w:start w:val="1"/>
      <w:numFmt w:val="bullet"/>
      <w:pStyle w:val="ListParagraph"/>
      <w:lvlText w:val="●"/>
      <w:lvlJc w:val="left"/>
      <w:pPr>
        <w:ind w:left="454" w:hanging="227"/>
      </w:pPr>
      <w:rPr>
        <w:rFonts w:ascii="Noto Sans Symbols" w:eastAsia="Noto Sans Symbols" w:hAnsi="Noto Sans Symbols" w:cs="Noto Sans Symbols"/>
        <w:color w:val="41B6E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C8C0948"/>
    <w:multiLevelType w:val="hybridMultilevel"/>
    <w:tmpl w:val="A1466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81867598">
    <w:abstractNumId w:val="4"/>
  </w:num>
  <w:num w:numId="2" w16cid:durableId="572467447">
    <w:abstractNumId w:val="1"/>
  </w:num>
  <w:num w:numId="3" w16cid:durableId="1754625875">
    <w:abstractNumId w:val="5"/>
  </w:num>
  <w:num w:numId="4" w16cid:durableId="1614631035">
    <w:abstractNumId w:val="3"/>
  </w:num>
  <w:num w:numId="5" w16cid:durableId="1377924591">
    <w:abstractNumId w:val="0"/>
  </w:num>
  <w:num w:numId="6" w16cid:durableId="16354794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37F9"/>
    <w:rsid w:val="00015970"/>
    <w:rsid w:val="0003209A"/>
    <w:rsid w:val="00055071"/>
    <w:rsid w:val="000915D6"/>
    <w:rsid w:val="00111EF3"/>
    <w:rsid w:val="001736F6"/>
    <w:rsid w:val="001A1F51"/>
    <w:rsid w:val="00361CA8"/>
    <w:rsid w:val="00363372"/>
    <w:rsid w:val="003B1D42"/>
    <w:rsid w:val="003C50D6"/>
    <w:rsid w:val="003F6C89"/>
    <w:rsid w:val="004161D3"/>
    <w:rsid w:val="00565A0D"/>
    <w:rsid w:val="00572686"/>
    <w:rsid w:val="00585637"/>
    <w:rsid w:val="005B0583"/>
    <w:rsid w:val="005E6C80"/>
    <w:rsid w:val="006C3318"/>
    <w:rsid w:val="00743FC9"/>
    <w:rsid w:val="007C6195"/>
    <w:rsid w:val="00820E9E"/>
    <w:rsid w:val="00846DC7"/>
    <w:rsid w:val="00863C10"/>
    <w:rsid w:val="008F70CF"/>
    <w:rsid w:val="009010E0"/>
    <w:rsid w:val="009A3B51"/>
    <w:rsid w:val="009F1CF7"/>
    <w:rsid w:val="009F721A"/>
    <w:rsid w:val="00A0596E"/>
    <w:rsid w:val="00A16726"/>
    <w:rsid w:val="00A856F6"/>
    <w:rsid w:val="00AB6EE4"/>
    <w:rsid w:val="00AD1474"/>
    <w:rsid w:val="00AE128E"/>
    <w:rsid w:val="00B44BBE"/>
    <w:rsid w:val="00B622AD"/>
    <w:rsid w:val="00BC5BD6"/>
    <w:rsid w:val="00BF7E75"/>
    <w:rsid w:val="00C143BF"/>
    <w:rsid w:val="00C21AD9"/>
    <w:rsid w:val="00D94DBE"/>
    <w:rsid w:val="00DD60FB"/>
    <w:rsid w:val="00DE00D0"/>
    <w:rsid w:val="00E17474"/>
    <w:rsid w:val="00E65179"/>
    <w:rsid w:val="00EC37F9"/>
    <w:rsid w:val="00F60D2D"/>
    <w:rsid w:val="00F92F70"/>
    <w:rsid w:val="00FB5503"/>
    <w:rsid w:val="00FB5D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134B7"/>
  <w15:docId w15:val="{CD4F65E4-5976-477B-8035-22F9AA5EB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471C"/>
  </w:style>
  <w:style w:type="paragraph" w:styleId="Heading1">
    <w:name w:val="heading 1"/>
    <w:basedOn w:val="Normal"/>
    <w:next w:val="Normal"/>
    <w:link w:val="Heading1Char"/>
    <w:uiPriority w:val="9"/>
    <w:qFormat/>
    <w:rsid w:val="0061471C"/>
    <w:pPr>
      <w:keepNext/>
      <w:keepLines/>
      <w:spacing w:before="240" w:line="264" w:lineRule="auto"/>
      <w:outlineLvl w:val="0"/>
    </w:pPr>
    <w:rPr>
      <w:rFonts w:eastAsiaTheme="majorEastAsia"/>
      <w:b/>
      <w:color w:val="005EB8"/>
      <w:spacing w:val="-4"/>
      <w:sz w:val="52"/>
      <w:szCs w:val="52"/>
    </w:rPr>
  </w:style>
  <w:style w:type="paragraph" w:styleId="Heading2">
    <w:name w:val="heading 2"/>
    <w:basedOn w:val="NoSpacing"/>
    <w:next w:val="Normal"/>
    <w:link w:val="Heading2Char"/>
    <w:uiPriority w:val="9"/>
    <w:unhideWhenUsed/>
    <w:qFormat/>
    <w:rsid w:val="00777261"/>
    <w:pPr>
      <w:spacing w:after="120"/>
      <w:outlineLvl w:val="1"/>
    </w:pPr>
    <w:rPr>
      <w:b/>
      <w:bCs/>
      <w:color w:val="005EB8"/>
      <w:sz w:val="36"/>
      <w:szCs w:val="36"/>
    </w:rPr>
  </w:style>
  <w:style w:type="paragraph" w:styleId="Heading3">
    <w:name w:val="heading 3"/>
    <w:basedOn w:val="Normal"/>
    <w:next w:val="Normal"/>
    <w:link w:val="Heading3Char"/>
    <w:uiPriority w:val="9"/>
    <w:unhideWhenUsed/>
    <w:qFormat/>
    <w:rsid w:val="003B550B"/>
    <w:pPr>
      <w:keepNext/>
      <w:keepLines/>
      <w:spacing w:before="40" w:after="120"/>
      <w:outlineLvl w:val="2"/>
    </w:pPr>
    <w:rPr>
      <w:rFonts w:eastAsiaTheme="majorEastAsia" w:cstheme="majorBidi"/>
      <w:b/>
      <w:color w:val="003087"/>
    </w:rPr>
  </w:style>
  <w:style w:type="paragraph" w:styleId="Heading4">
    <w:name w:val="heading 4"/>
    <w:basedOn w:val="Normal"/>
    <w:next w:val="Normal"/>
    <w:link w:val="Heading4Char"/>
    <w:uiPriority w:val="9"/>
    <w:semiHidden/>
    <w:unhideWhenUsed/>
    <w:qFormat/>
    <w:rsid w:val="00A767E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ListTable4-Accent1">
    <w:name w:val="List Table 4 Accent 1"/>
    <w:aliases w:val="CHP Table Style"/>
    <w:basedOn w:val="TableNormal"/>
    <w:uiPriority w:val="49"/>
    <w:rsid w:val="00AB03E7"/>
    <w:rPr>
      <w:rFonts w:cs="Times New Roman (Body C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vAlign w:val="center"/>
    </w:tc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E7E6E6" w:themeFill="background2"/>
      </w:tcPr>
    </w:tblStylePr>
    <w:tblStylePr w:type="band2Horz">
      <w:tblPr/>
      <w:tcPr>
        <w:shd w:val="clear" w:color="auto" w:fill="D0CECE" w:themeFill="background2" w:themeFillShade="E6"/>
      </w:tcPr>
    </w:tblStylePr>
  </w:style>
  <w:style w:type="paragraph" w:styleId="Header">
    <w:name w:val="header"/>
    <w:basedOn w:val="Normal"/>
    <w:link w:val="HeaderChar"/>
    <w:uiPriority w:val="99"/>
    <w:unhideWhenUsed/>
    <w:rsid w:val="005D51F1"/>
    <w:pPr>
      <w:tabs>
        <w:tab w:val="center" w:pos="4680"/>
        <w:tab w:val="right" w:pos="9360"/>
      </w:tabs>
    </w:pPr>
  </w:style>
  <w:style w:type="character" w:customStyle="1" w:styleId="HeaderChar">
    <w:name w:val="Header Char"/>
    <w:basedOn w:val="DefaultParagraphFont"/>
    <w:link w:val="Header"/>
    <w:uiPriority w:val="99"/>
    <w:rsid w:val="005D51F1"/>
  </w:style>
  <w:style w:type="paragraph" w:styleId="Footer">
    <w:name w:val="footer"/>
    <w:basedOn w:val="Normal"/>
    <w:link w:val="FooterChar"/>
    <w:uiPriority w:val="99"/>
    <w:unhideWhenUsed/>
    <w:rsid w:val="005D51F1"/>
    <w:pPr>
      <w:tabs>
        <w:tab w:val="center" w:pos="4680"/>
        <w:tab w:val="right" w:pos="9360"/>
      </w:tabs>
    </w:pPr>
  </w:style>
  <w:style w:type="character" w:customStyle="1" w:styleId="FooterChar">
    <w:name w:val="Footer Char"/>
    <w:basedOn w:val="DefaultParagraphFont"/>
    <w:link w:val="Footer"/>
    <w:uiPriority w:val="99"/>
    <w:rsid w:val="005D51F1"/>
  </w:style>
  <w:style w:type="character" w:customStyle="1" w:styleId="Heading1Char">
    <w:name w:val="Heading 1 Char"/>
    <w:basedOn w:val="DefaultParagraphFont"/>
    <w:link w:val="Heading1"/>
    <w:uiPriority w:val="9"/>
    <w:rsid w:val="0061471C"/>
    <w:rPr>
      <w:rFonts w:ascii="Arial" w:eastAsiaTheme="majorEastAsia" w:hAnsi="Arial" w:cs="Arial"/>
      <w:b/>
      <w:color w:val="005EB8"/>
      <w:spacing w:val="-4"/>
      <w:sz w:val="52"/>
      <w:szCs w:val="52"/>
    </w:rPr>
  </w:style>
  <w:style w:type="character" w:customStyle="1" w:styleId="Heading2Char">
    <w:name w:val="Heading 2 Char"/>
    <w:basedOn w:val="DefaultParagraphFont"/>
    <w:link w:val="Heading2"/>
    <w:uiPriority w:val="9"/>
    <w:rsid w:val="00777261"/>
    <w:rPr>
      <w:rFonts w:ascii="Arial" w:hAnsi="Arial" w:cs="Arial"/>
      <w:b/>
      <w:bCs/>
      <w:color w:val="005EB8"/>
      <w:sz w:val="36"/>
      <w:szCs w:val="36"/>
    </w:rPr>
  </w:style>
  <w:style w:type="paragraph" w:styleId="ListParagraph">
    <w:name w:val="List Paragraph"/>
    <w:basedOn w:val="Normal"/>
    <w:uiPriority w:val="34"/>
    <w:qFormat/>
    <w:rsid w:val="004F78DD"/>
    <w:pPr>
      <w:numPr>
        <w:numId w:val="1"/>
      </w:numPr>
      <w:spacing w:after="120" w:line="264" w:lineRule="auto"/>
      <w:contextualSpacing/>
    </w:pPr>
  </w:style>
  <w:style w:type="paragraph" w:styleId="NoSpacing">
    <w:name w:val="No Spacing"/>
    <w:uiPriority w:val="1"/>
    <w:qFormat/>
    <w:rsid w:val="0061471C"/>
  </w:style>
  <w:style w:type="character" w:styleId="PageNumber">
    <w:name w:val="page number"/>
    <w:basedOn w:val="DefaultParagraphFont"/>
    <w:uiPriority w:val="99"/>
    <w:semiHidden/>
    <w:unhideWhenUsed/>
    <w:rsid w:val="004270D1"/>
  </w:style>
  <w:style w:type="paragraph" w:styleId="TOC2">
    <w:name w:val="toc 2"/>
    <w:basedOn w:val="Normal"/>
    <w:next w:val="Normal"/>
    <w:autoRedefine/>
    <w:uiPriority w:val="39"/>
    <w:unhideWhenUsed/>
    <w:rsid w:val="00A767EF"/>
    <w:pPr>
      <w:spacing w:after="120" w:line="264" w:lineRule="auto"/>
      <w:ind w:left="240"/>
    </w:pPr>
    <w:rPr>
      <w:rFonts w:cstheme="minorHAnsi"/>
      <w:bCs/>
      <w:color w:val="000000" w:themeColor="text1"/>
      <w:sz w:val="20"/>
      <w:szCs w:val="22"/>
    </w:rPr>
  </w:style>
  <w:style w:type="numbering" w:customStyle="1" w:styleId="CurrentList1">
    <w:name w:val="Current List1"/>
    <w:uiPriority w:val="99"/>
    <w:rsid w:val="004F78DD"/>
  </w:style>
  <w:style w:type="paragraph" w:styleId="TOC3">
    <w:name w:val="toc 3"/>
    <w:basedOn w:val="Normal"/>
    <w:next w:val="Normal"/>
    <w:autoRedefine/>
    <w:uiPriority w:val="39"/>
    <w:unhideWhenUsed/>
    <w:rsid w:val="00A767EF"/>
    <w:pPr>
      <w:spacing w:after="120" w:line="264" w:lineRule="auto"/>
      <w:ind w:left="480"/>
    </w:pPr>
    <w:rPr>
      <w:rFonts w:cstheme="minorHAnsi"/>
      <w:sz w:val="20"/>
      <w:szCs w:val="20"/>
    </w:rPr>
  </w:style>
  <w:style w:type="character" w:styleId="Hyperlink">
    <w:name w:val="Hyperlink"/>
    <w:basedOn w:val="DefaultParagraphFont"/>
    <w:uiPriority w:val="99"/>
    <w:unhideWhenUsed/>
    <w:rsid w:val="002766EA"/>
    <w:rPr>
      <w:color w:val="0563C1" w:themeColor="hyperlink"/>
      <w:u w:val="single"/>
    </w:rPr>
  </w:style>
  <w:style w:type="paragraph" w:styleId="TOC1">
    <w:name w:val="toc 1"/>
    <w:basedOn w:val="Normal"/>
    <w:next w:val="Normal"/>
    <w:autoRedefine/>
    <w:uiPriority w:val="39"/>
    <w:unhideWhenUsed/>
    <w:rsid w:val="00A767EF"/>
    <w:pPr>
      <w:spacing w:after="120" w:line="264" w:lineRule="auto"/>
    </w:pPr>
    <w:rPr>
      <w:rFonts w:cstheme="minorHAnsi"/>
      <w:b/>
      <w:bCs/>
      <w:iCs/>
      <w:color w:val="005EB8"/>
      <w:sz w:val="28"/>
    </w:rPr>
  </w:style>
  <w:style w:type="paragraph" w:customStyle="1" w:styleId="Covertitle">
    <w:name w:val="Cover title"/>
    <w:basedOn w:val="Heading1"/>
    <w:qFormat/>
    <w:rsid w:val="0064123D"/>
    <w:pPr>
      <w:jc w:val="right"/>
    </w:pPr>
    <w:rPr>
      <w:sz w:val="96"/>
      <w:szCs w:val="96"/>
    </w:rPr>
  </w:style>
  <w:style w:type="table" w:styleId="TableGrid">
    <w:name w:val="Table Grid"/>
    <w:basedOn w:val="TableNormal"/>
    <w:uiPriority w:val="39"/>
    <w:rsid w:val="00EA6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EA6994"/>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EA6994"/>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GridLight">
    <w:name w:val="Grid Table Light"/>
    <w:basedOn w:val="TableNormal"/>
    <w:uiPriority w:val="40"/>
    <w:rsid w:val="00EA699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EA699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EA699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EA6994"/>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PlainTable4">
    <w:name w:val="Plain Table 4"/>
    <w:basedOn w:val="TableNormal"/>
    <w:uiPriority w:val="44"/>
    <w:rsid w:val="00EA699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EA699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3">
    <w:name w:val="Grid Table 1 Light Accent 3"/>
    <w:basedOn w:val="TableNormal"/>
    <w:uiPriority w:val="46"/>
    <w:rsid w:val="00EA6994"/>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A6994"/>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Heading3Char">
    <w:name w:val="Heading 3 Char"/>
    <w:basedOn w:val="DefaultParagraphFont"/>
    <w:link w:val="Heading3"/>
    <w:uiPriority w:val="9"/>
    <w:rsid w:val="003B550B"/>
    <w:rPr>
      <w:rFonts w:ascii="Arial" w:eastAsiaTheme="majorEastAsia" w:hAnsi="Arial" w:cstheme="majorBidi"/>
      <w:b/>
      <w:color w:val="003087"/>
    </w:rPr>
  </w:style>
  <w:style w:type="character" w:customStyle="1" w:styleId="Heading4Char">
    <w:name w:val="Heading 4 Char"/>
    <w:basedOn w:val="DefaultParagraphFont"/>
    <w:link w:val="Heading4"/>
    <w:uiPriority w:val="9"/>
    <w:semiHidden/>
    <w:rsid w:val="00A767EF"/>
    <w:rPr>
      <w:rFonts w:asciiTheme="majorHAnsi" w:eastAsiaTheme="majorEastAsia" w:hAnsiTheme="majorHAnsi" w:cstheme="majorBidi"/>
      <w:i/>
      <w:iCs/>
      <w:color w:val="2F5496" w:themeColor="accent1" w:themeShade="BF"/>
    </w:rPr>
  </w:style>
  <w:style w:type="paragraph" w:customStyle="1" w:styleId="Contents">
    <w:name w:val="Contents"/>
    <w:basedOn w:val="Heading1"/>
    <w:qFormat/>
    <w:rsid w:val="00A767EF"/>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tcPr>
      <w:vAlign w:val="center"/>
    </w:tc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paragraph" w:styleId="Revision">
    <w:name w:val="Revision"/>
    <w:hidden/>
    <w:uiPriority w:val="99"/>
    <w:semiHidden/>
    <w:rsid w:val="00363372"/>
    <w:pPr>
      <w:spacing w:before="0"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1iRzcVT1SspWVGKGrTercKGViQ==">CgMxLjAyCGguZ2pkZ3hzMgloLjMwajB6bGwyCWguMWZvYjl0ZTIJaC4zem55c2g3MgloLjJldDkycDAyCGgudHlqY3d0MgloLjNkeTZ2a204AHIhMVQtYnRDemN0WjI4S0Y3bmxOYTdyd2NGLUtHQTBXeklN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Pages>
  <Words>1372</Words>
  <Characters>7825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Bradford Teaching Hospitals NHS Foundation Trust</Company>
  <LinksUpToDate>false</LinksUpToDate>
  <CharactersWithSpaces>9179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BATT, Vicki (NHS NORTH OF ENGLAND COMMISSIONING SUPPORT UNIT)</dc:creator>
  <cp:lastModifiedBy>Chloe Parekh</cp:lastModifiedBy>
  <cp:revision>4</cp:revision>
  <dcterms:created xsi:type="dcterms:W3CDTF">2026-07-13T09:23:00Z</dcterms:created>
  <dcterms:modified xsi:type="dcterms:W3CDTF">2026-07-13T09:35:00Z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0x0101002C45982A3ED56949A1EB4ACF432CAC5D</vt:lpwstr>
  </property>
  <property fmtid="{D5CDD505-2E9C-101B-9397-08002B2CF9AE}" pid="3" name="MediaServiceImageTags">
    <vt:lpwstr>MediaServiceImageTags</vt:lpwstr>
  </property>
  <property fmtid="{D5CDD505-2E9C-101B-9397-08002B2CF9AE}" pid="4" name="Order">
    <vt:lpwstr>799500</vt:lpwstr>
  </property>
  <property fmtid="{D5CDD505-2E9C-101B-9397-08002B2CF9AE}" pid="5" name="_ExtendedDescription">
    <vt:lpwstr>_ExtendedDescription</vt:lpwstr>
  </property>
</Properties>
</file>